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30326" w14:textId="691A6B12" w:rsidR="003E3AB0" w:rsidRDefault="007E4749" w:rsidP="009C6B21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val="en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3FF43" wp14:editId="1099A18B">
                <wp:simplePos x="0" y="0"/>
                <wp:positionH relativeFrom="column">
                  <wp:posOffset>1114425</wp:posOffset>
                </wp:positionH>
                <wp:positionV relativeFrom="paragraph">
                  <wp:posOffset>114300</wp:posOffset>
                </wp:positionV>
                <wp:extent cx="5059045" cy="309562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045" cy="309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432BF7" w14:textId="5AE884B2" w:rsidR="001672E6" w:rsidRDefault="001672E6" w:rsidP="00210AEC">
                            <w:pPr>
                              <w:spacing w:before="100" w:beforeAutospacing="1" w:after="100" w:afterAutospacing="1" w:line="900" w:lineRule="exact"/>
                              <w:jc w:val="right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36"/>
                                <w:sz w:val="90"/>
                                <w:szCs w:val="90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36"/>
                                <w:sz w:val="90"/>
                                <w:szCs w:val="90"/>
                                <w:lang w:val="en"/>
                              </w:rPr>
                              <w:t>Key Contracts and Partnerships Framework</w:t>
                            </w:r>
                          </w:p>
                          <w:p w14:paraId="4AF7049F" w14:textId="0CA54C74" w:rsidR="001672E6" w:rsidRPr="00210AEC" w:rsidRDefault="001672E6" w:rsidP="00210AEC">
                            <w:pPr>
                              <w:spacing w:before="100" w:beforeAutospacing="1" w:after="100" w:afterAutospacing="1" w:line="500" w:lineRule="atLeast"/>
                              <w:jc w:val="right"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kern w:val="36"/>
                                <w:sz w:val="50"/>
                                <w:szCs w:val="50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kern w:val="36"/>
                                <w:sz w:val="50"/>
                                <w:szCs w:val="50"/>
                                <w:lang w:val="en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3FF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7.75pt;margin-top:9pt;width:398.35pt;height:2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6wILAIAAFcEAAAOAAAAZHJzL2Uyb0RvYy54bWysVF1v2jAUfZ+0/2D5fSR8pCsRoWKtmCah&#10;thJMfTaOTSLFvp5tSNiv37UTWtbtadqLuV+5vvecYxZ3nWrISVhXgy7oeJRSIjSHstaHgn7frT/d&#10;UuI80yVrQIuCnoWjd8uPHxatycUEKmhKYQk20S5vTUEr702eJI5XQjE3AiM0JiVYxTy69pCUlrXY&#10;XTXJJE1vkhZsaSxw4RxGH/okXcb+Ugrun6R0wpOmoDibj6eN5z6cyXLB8oNlpqr5MAb7hykUqzVe&#10;+trqgXlGjrb+o5WquQUH0o84qASkrLmIO+A24/TdNtuKGRF3QXCceYXJ/b+2/PH0bEldFnRKiWYK&#10;KdqJzpMv0JFpQKc1LseircEy32EYWb7EHQbD0p20KvziOgTziPP5FdvQjGMwS7N5Osso4ZibpvPs&#10;ZpKFPsnb58Y6/1WAIsEoqEXyIqbstHG+L72UhNs0rOumiQQ2+rcA9uwjIipg+Dps0k8cLN/tu2G9&#10;PZRn3M5Crw5n+LrGCTbM+WdmUQ64EErcP+EhG2gLCoNFSQX259/ioR5ZwiwlLcqroO7HkVlBSfNN&#10;I3/z8WwW9BidWfZ5go69zuyvM/qo7gEVPMbHZHg0Q71vLqa0oF7wJazCrZhimuPdBfUX8973oseX&#10;xMVqFYtQgYb5jd4aHloHCAO+u+6FWTOQ4JG/R7gIkeXvuOhre/BXRw+yjkQFgHtUkeDgoHoj1cNL&#10;C8/j2o9Vb/8Hy18AAAD//wMAUEsDBBQABgAIAAAAIQAuFLNH3QAAAAoBAAAPAAAAZHJzL2Rvd25y&#10;ZXYueG1sTI/NTsMwEITvSLyDtUjc6JqI0DbEqRCIK4jyI3Fz420SEa+j2G3C27Oc6G1H82l2ptzM&#10;vldHGmMX2MD1QoMiroPruDHw/vZ0tQIVk2Vn+8Bk4IcibKrzs9IWLkz8SsdtapSEcCysgTaloUCM&#10;dUvexkUYiMXbh9HbJHJs0I12knDfY6b1LXrbsXxo7UAPLdXf24M38PG8//q80S/No8+HKcwa2a/R&#10;mMuL+f4OVKI5/cPwV1+qQyWdduHALqpe9DLPBZVjJZsEWC+zDNTOQK7FwarE0wnVLwAAAP//AwBQ&#10;SwECLQAUAAYACAAAACEAtoM4kv4AAADhAQAAEwAAAAAAAAAAAAAAAAAAAAAAW0NvbnRlbnRfVHlw&#10;ZXNdLnhtbFBLAQItABQABgAIAAAAIQA4/SH/1gAAAJQBAAALAAAAAAAAAAAAAAAAAC8BAABfcmVs&#10;cy8ucmVsc1BLAQItABQABgAIAAAAIQDoV6wILAIAAFcEAAAOAAAAAAAAAAAAAAAAAC4CAABkcnMv&#10;ZTJvRG9jLnhtbFBLAQItABQABgAIAAAAIQAuFLNH3QAAAAoBAAAPAAAAAAAAAAAAAAAAAIYEAABk&#10;cnMvZG93bnJldi54bWxQSwUGAAAAAAQABADzAAAAkAUAAAAA&#10;" filled="f" stroked="f">
                <v:textbox>
                  <w:txbxContent>
                    <w:p w14:paraId="7C432BF7" w14:textId="5AE884B2" w:rsidR="001672E6" w:rsidRDefault="001672E6" w:rsidP="00210AEC">
                      <w:pPr>
                        <w:spacing w:before="100" w:beforeAutospacing="1" w:after="100" w:afterAutospacing="1" w:line="900" w:lineRule="exact"/>
                        <w:jc w:val="right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36"/>
                          <w:sz w:val="90"/>
                          <w:szCs w:val="90"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36"/>
                          <w:sz w:val="90"/>
                          <w:szCs w:val="90"/>
                          <w:lang w:val="en"/>
                        </w:rPr>
                        <w:t>Key Contracts and Partnerships Framework</w:t>
                      </w:r>
                    </w:p>
                    <w:p w14:paraId="4AF7049F" w14:textId="0CA54C74" w:rsidR="001672E6" w:rsidRPr="00210AEC" w:rsidRDefault="001672E6" w:rsidP="00210AEC">
                      <w:pPr>
                        <w:spacing w:before="100" w:beforeAutospacing="1" w:after="100" w:afterAutospacing="1" w:line="500" w:lineRule="atLeast"/>
                        <w:jc w:val="right"/>
                        <w:outlineLvl w:val="0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kern w:val="36"/>
                          <w:sz w:val="50"/>
                          <w:szCs w:val="50"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kern w:val="36"/>
                          <w:sz w:val="50"/>
                          <w:szCs w:val="50"/>
                          <w:lang w:val="en"/>
                        </w:rPr>
                        <w:t>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3AB0">
        <w:rPr>
          <w:rFonts w:ascii="Arial" w:eastAsia="Times New Roman" w:hAnsi="Arial" w:cs="Arial"/>
          <w:b/>
          <w:bCs/>
          <w:noProof/>
          <w:color w:val="000000" w:themeColor="text1"/>
          <w:kern w:val="36"/>
          <w:lang w:eastAsia="en-GB"/>
        </w:rPr>
        <w:drawing>
          <wp:anchor distT="0" distB="0" distL="114300" distR="114300" simplePos="0" relativeHeight="251658240" behindDoc="1" locked="0" layoutInCell="1" allowOverlap="1" wp14:anchorId="7093940A" wp14:editId="4300324B">
            <wp:simplePos x="0" y="0"/>
            <wp:positionH relativeFrom="column">
              <wp:posOffset>-882015</wp:posOffset>
            </wp:positionH>
            <wp:positionV relativeFrom="paragraph">
              <wp:posOffset>-911860</wp:posOffset>
            </wp:positionV>
            <wp:extent cx="7543957" cy="106710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BC A4 internal doc template 2020 v1 media protoc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957" cy="10671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C8173" w14:textId="155B42B2" w:rsidR="003E3AB0" w:rsidRDefault="003E3AB0" w:rsidP="009C6B21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val="en" w:eastAsia="en-GB"/>
        </w:rPr>
      </w:pPr>
    </w:p>
    <w:p w14:paraId="44FEFEE8" w14:textId="5853C2E7" w:rsidR="003E3AB0" w:rsidRDefault="003E3AB0" w:rsidP="009C6B21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val="en" w:eastAsia="en-GB"/>
        </w:rPr>
      </w:pPr>
    </w:p>
    <w:p w14:paraId="7A2066DD" w14:textId="5210664A" w:rsidR="003E3AB0" w:rsidRDefault="003E3AB0" w:rsidP="009C6B21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val="en" w:eastAsia="en-GB"/>
        </w:rPr>
      </w:pPr>
    </w:p>
    <w:p w14:paraId="481733D5" w14:textId="77777777" w:rsidR="003E3AB0" w:rsidRDefault="003E3AB0" w:rsidP="009C6B21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val="en" w:eastAsia="en-GB"/>
        </w:rPr>
      </w:pPr>
    </w:p>
    <w:p w14:paraId="3D2C3C7C" w14:textId="77777777" w:rsidR="003E3AB0" w:rsidRDefault="003E3AB0" w:rsidP="009C6B21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val="en" w:eastAsia="en-GB"/>
        </w:rPr>
      </w:pPr>
    </w:p>
    <w:p w14:paraId="65192D2C" w14:textId="77777777" w:rsidR="003E3AB0" w:rsidRDefault="003E3AB0" w:rsidP="009C6B21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val="en" w:eastAsia="en-GB"/>
        </w:rPr>
      </w:pPr>
    </w:p>
    <w:p w14:paraId="11E6DFCE" w14:textId="77777777" w:rsidR="003E3AB0" w:rsidRDefault="003E3AB0" w:rsidP="009C6B21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val="en" w:eastAsia="en-GB"/>
        </w:rPr>
      </w:pPr>
    </w:p>
    <w:p w14:paraId="6124AE1C" w14:textId="77777777" w:rsidR="003E3AB0" w:rsidRDefault="003E3AB0" w:rsidP="009C6B21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val="en" w:eastAsia="en-GB"/>
        </w:rPr>
      </w:pPr>
    </w:p>
    <w:p w14:paraId="573864ED" w14:textId="77777777" w:rsidR="003E3AB0" w:rsidRDefault="003E3AB0" w:rsidP="009C6B21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val="en" w:eastAsia="en-GB"/>
        </w:rPr>
      </w:pPr>
    </w:p>
    <w:p w14:paraId="2984C27F" w14:textId="77777777" w:rsidR="003E3AB0" w:rsidRDefault="003E3AB0" w:rsidP="009C6B21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val="en" w:eastAsia="en-GB"/>
        </w:rPr>
      </w:pPr>
    </w:p>
    <w:p w14:paraId="65265947" w14:textId="77777777" w:rsidR="003E3AB0" w:rsidRDefault="003E3AB0" w:rsidP="009C6B21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val="en" w:eastAsia="en-GB"/>
        </w:rPr>
      </w:pPr>
    </w:p>
    <w:p w14:paraId="0B3BDC27" w14:textId="77777777" w:rsidR="003E3AB0" w:rsidRDefault="003E3AB0" w:rsidP="009C6B21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val="en" w:eastAsia="en-GB"/>
        </w:rPr>
      </w:pPr>
    </w:p>
    <w:p w14:paraId="1279721A" w14:textId="77777777" w:rsidR="003E3AB0" w:rsidRDefault="003E3AB0" w:rsidP="009C6B21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val="en" w:eastAsia="en-GB"/>
        </w:rPr>
      </w:pPr>
    </w:p>
    <w:p w14:paraId="581B102F" w14:textId="77777777" w:rsidR="003E3AB0" w:rsidRDefault="003E3AB0" w:rsidP="009C6B21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val="en" w:eastAsia="en-GB"/>
        </w:rPr>
      </w:pPr>
    </w:p>
    <w:p w14:paraId="2148B285" w14:textId="77777777" w:rsidR="003E3AB0" w:rsidRDefault="003E3AB0" w:rsidP="009C6B21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val="en" w:eastAsia="en-GB"/>
        </w:rPr>
      </w:pPr>
    </w:p>
    <w:p w14:paraId="7CF54AD1" w14:textId="77777777" w:rsidR="003E3AB0" w:rsidRDefault="003E3AB0" w:rsidP="009C6B21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val="en" w:eastAsia="en-GB"/>
        </w:rPr>
      </w:pPr>
    </w:p>
    <w:p w14:paraId="69441E19" w14:textId="77777777" w:rsidR="003E3AB0" w:rsidRDefault="003E3AB0" w:rsidP="009C6B21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val="en" w:eastAsia="en-GB"/>
        </w:rPr>
      </w:pPr>
    </w:p>
    <w:p w14:paraId="75438DC1" w14:textId="77777777" w:rsidR="003E3AB0" w:rsidRDefault="003E3AB0" w:rsidP="009C6B21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val="en" w:eastAsia="en-GB"/>
        </w:rPr>
      </w:pPr>
    </w:p>
    <w:p w14:paraId="68A657B9" w14:textId="77777777" w:rsidR="007E4749" w:rsidRDefault="007E4749" w:rsidP="009C6B21">
      <w:pPr>
        <w:jc w:val="both"/>
        <w:rPr>
          <w:rFonts w:ascii="Arial" w:eastAsia="Times New Roman" w:hAnsi="Arial" w:cs="Arial"/>
          <w:b/>
          <w:bCs/>
          <w:color w:val="000000" w:themeColor="text1"/>
          <w:kern w:val="36"/>
          <w:lang w:val="en" w:eastAsia="en-GB"/>
        </w:rPr>
      </w:pPr>
    </w:p>
    <w:p w14:paraId="50805036" w14:textId="77777777" w:rsidR="007E4749" w:rsidRDefault="007E4749" w:rsidP="009C6B21">
      <w:pPr>
        <w:jc w:val="both"/>
        <w:rPr>
          <w:rFonts w:ascii="Arial" w:eastAsia="Times New Roman" w:hAnsi="Arial" w:cs="Arial"/>
          <w:b/>
          <w:bCs/>
          <w:color w:val="000000" w:themeColor="text1"/>
          <w:kern w:val="36"/>
          <w:lang w:val="en" w:eastAsia="en-GB"/>
        </w:rPr>
      </w:pPr>
    </w:p>
    <w:p w14:paraId="4E097A42" w14:textId="77777777" w:rsidR="00162386" w:rsidRDefault="00162386" w:rsidP="009C6B21">
      <w:pPr>
        <w:jc w:val="both"/>
        <w:rPr>
          <w:rFonts w:ascii="Arial" w:eastAsia="Times New Roman" w:hAnsi="Arial" w:cs="Arial"/>
          <w:b/>
          <w:bCs/>
          <w:color w:val="000000" w:themeColor="text1"/>
          <w:kern w:val="36"/>
          <w:lang w:val="en" w:eastAsia="en-GB"/>
        </w:rPr>
      </w:pPr>
    </w:p>
    <w:p w14:paraId="7CA7647D" w14:textId="4A1604C2" w:rsidR="007E4749" w:rsidRPr="00B10F13" w:rsidRDefault="00B10F13" w:rsidP="009C6B21">
      <w:pPr>
        <w:jc w:val="both"/>
        <w:rPr>
          <w:rFonts w:asciiTheme="majorHAnsi" w:hAnsiTheme="majorHAnsi" w:cstheme="majorHAnsi"/>
          <w:color w:val="147FA8"/>
          <w:lang w:val="en-US"/>
        </w:rPr>
      </w:pPr>
      <w:r>
        <w:rPr>
          <w:rFonts w:asciiTheme="majorHAnsi" w:hAnsiTheme="majorHAnsi" w:cstheme="majorHAnsi"/>
          <w:b/>
          <w:bCs/>
          <w:color w:val="147FA8"/>
          <w:sz w:val="28"/>
          <w:szCs w:val="28"/>
          <w:lang w:val="en-US"/>
        </w:rPr>
        <w:lastRenderedPageBreak/>
        <w:t xml:space="preserve">Aim of the framework  </w:t>
      </w:r>
      <w:r w:rsidR="00163EBF">
        <w:rPr>
          <w:rFonts w:asciiTheme="majorHAnsi" w:hAnsiTheme="majorHAnsi" w:cstheme="majorHAnsi"/>
          <w:b/>
          <w:bCs/>
          <w:color w:val="147FA8"/>
          <w:sz w:val="28"/>
          <w:szCs w:val="28"/>
          <w:lang w:val="en-US"/>
        </w:rPr>
        <w:t xml:space="preserve"> </w:t>
      </w:r>
    </w:p>
    <w:p w14:paraId="3A0C7FF8" w14:textId="4A316B3A" w:rsidR="000630CB" w:rsidRDefault="000630CB" w:rsidP="001672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iCs/>
        </w:rPr>
      </w:pPr>
      <w:r w:rsidRPr="00162386">
        <w:rPr>
          <w:rFonts w:asciiTheme="majorHAnsi" w:hAnsiTheme="majorHAnsi" w:cstheme="majorHAnsi"/>
        </w:rPr>
        <w:t>M</w:t>
      </w:r>
      <w:r w:rsidR="00A35247">
        <w:rPr>
          <w:rFonts w:asciiTheme="majorHAnsi" w:hAnsiTheme="majorHAnsi" w:cstheme="majorHAnsi"/>
        </w:rPr>
        <w:t>any</w:t>
      </w:r>
      <w:r w:rsidRPr="00162386">
        <w:rPr>
          <w:rFonts w:asciiTheme="majorHAnsi" w:hAnsiTheme="majorHAnsi" w:cstheme="majorHAnsi"/>
        </w:rPr>
        <w:t xml:space="preserve"> of the </w:t>
      </w:r>
      <w:r w:rsidR="00337315">
        <w:rPr>
          <w:rFonts w:asciiTheme="majorHAnsi" w:hAnsiTheme="majorHAnsi" w:cstheme="majorHAnsi"/>
        </w:rPr>
        <w:t xml:space="preserve">successful </w:t>
      </w:r>
      <w:r w:rsidRPr="00162386">
        <w:rPr>
          <w:rFonts w:asciiTheme="majorHAnsi" w:hAnsiTheme="majorHAnsi" w:cstheme="majorHAnsi"/>
        </w:rPr>
        <w:t xml:space="preserve">outcomes for South Ribble are delivered in partnership with other organisations and through key contracts </w:t>
      </w:r>
      <w:r w:rsidR="00337315">
        <w:rPr>
          <w:rFonts w:asciiTheme="majorHAnsi" w:hAnsiTheme="majorHAnsi" w:cstheme="majorHAnsi"/>
        </w:rPr>
        <w:t xml:space="preserve">supplying </w:t>
      </w:r>
      <w:r w:rsidRPr="00162386">
        <w:rPr>
          <w:rFonts w:asciiTheme="majorHAnsi" w:hAnsiTheme="majorHAnsi" w:cstheme="majorHAnsi"/>
        </w:rPr>
        <w:t xml:space="preserve">services on behalf of the Council. </w:t>
      </w:r>
    </w:p>
    <w:p w14:paraId="70EB9ADE" w14:textId="77777777" w:rsidR="00E11941" w:rsidRDefault="00E11941" w:rsidP="00167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D5D983" w14:textId="3CB85E68" w:rsidR="00B10F13" w:rsidRDefault="00B10F13" w:rsidP="001672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B10F13">
        <w:rPr>
          <w:rFonts w:asciiTheme="majorHAnsi" w:hAnsiTheme="majorHAnsi" w:cstheme="majorHAnsi"/>
          <w:color w:val="000000" w:themeColor="text1"/>
          <w:lang w:val="en-US"/>
        </w:rPr>
        <w:t xml:space="preserve">The aim of this framework is to provide </w:t>
      </w:r>
      <w:r w:rsidRPr="00B10F13">
        <w:rPr>
          <w:rFonts w:asciiTheme="majorHAnsi" w:hAnsiTheme="majorHAnsi" w:cstheme="majorHAnsi"/>
          <w:bCs/>
          <w:iCs/>
        </w:rPr>
        <w:t xml:space="preserve">a fit for purpose, robust and streamlined </w:t>
      </w:r>
      <w:r w:rsidR="009F7F0B">
        <w:rPr>
          <w:rFonts w:asciiTheme="majorHAnsi" w:hAnsiTheme="majorHAnsi" w:cstheme="majorHAnsi"/>
          <w:bCs/>
          <w:iCs/>
        </w:rPr>
        <w:t>mechanism</w:t>
      </w:r>
      <w:r w:rsidRPr="00B10F13">
        <w:rPr>
          <w:rFonts w:asciiTheme="majorHAnsi" w:hAnsiTheme="majorHAnsi" w:cstheme="majorHAnsi"/>
          <w:bCs/>
          <w:iCs/>
        </w:rPr>
        <w:t xml:space="preserve"> to monitor and performance manage key contracts and partnerships</w:t>
      </w:r>
      <w:r w:rsidR="00425767">
        <w:rPr>
          <w:rFonts w:asciiTheme="majorHAnsi" w:hAnsiTheme="majorHAnsi" w:cstheme="majorHAnsi"/>
          <w:bCs/>
          <w:iCs/>
        </w:rPr>
        <w:t xml:space="preserve"> to</w:t>
      </w:r>
      <w:r w:rsidRPr="00B10F13">
        <w:rPr>
          <w:rFonts w:asciiTheme="majorHAnsi" w:hAnsiTheme="majorHAnsi" w:cstheme="majorHAnsi"/>
          <w:bCs/>
          <w:iCs/>
        </w:rPr>
        <w:t xml:space="preserve"> ensure </w:t>
      </w:r>
      <w:r w:rsidR="00E11941" w:rsidRPr="00162386">
        <w:rPr>
          <w:rFonts w:asciiTheme="majorHAnsi" w:hAnsiTheme="majorHAnsi" w:cstheme="majorHAnsi"/>
          <w:bCs/>
          <w:iCs/>
        </w:rPr>
        <w:t>these contracts and partnerships are delivering effective, efficient and economic services providing best value for the Council</w:t>
      </w:r>
      <w:r w:rsidR="00425767">
        <w:rPr>
          <w:rFonts w:asciiTheme="majorHAnsi" w:hAnsiTheme="majorHAnsi" w:cstheme="majorHAnsi"/>
          <w:bCs/>
          <w:iCs/>
        </w:rPr>
        <w:t>.  The framework</w:t>
      </w:r>
      <w:r w:rsidRPr="00B10F13">
        <w:rPr>
          <w:rFonts w:asciiTheme="majorHAnsi" w:hAnsiTheme="majorHAnsi" w:cstheme="majorHAnsi"/>
          <w:bCs/>
          <w:iCs/>
        </w:rPr>
        <w:t xml:space="preserve"> </w:t>
      </w:r>
      <w:r w:rsidR="00E11941">
        <w:rPr>
          <w:rFonts w:asciiTheme="majorHAnsi" w:hAnsiTheme="majorHAnsi" w:cstheme="majorHAnsi"/>
          <w:bCs/>
          <w:iCs/>
        </w:rPr>
        <w:t xml:space="preserve">provides </w:t>
      </w:r>
      <w:r w:rsidRPr="00B10F13">
        <w:rPr>
          <w:rFonts w:asciiTheme="majorHAnsi" w:hAnsiTheme="majorHAnsi" w:cstheme="majorHAnsi"/>
          <w:bCs/>
          <w:iCs/>
        </w:rPr>
        <w:t xml:space="preserve">clarity around responsibility and accountability, </w:t>
      </w:r>
      <w:r w:rsidR="00E11941">
        <w:rPr>
          <w:rFonts w:asciiTheme="majorHAnsi" w:hAnsiTheme="majorHAnsi" w:cstheme="majorHAnsi"/>
          <w:bCs/>
          <w:iCs/>
        </w:rPr>
        <w:t xml:space="preserve">ensures </w:t>
      </w:r>
      <w:r w:rsidRPr="00B10F13">
        <w:rPr>
          <w:rFonts w:asciiTheme="majorHAnsi" w:hAnsiTheme="majorHAnsi" w:cstheme="majorHAnsi"/>
        </w:rPr>
        <w:t xml:space="preserve">outcomes are monitored, </w:t>
      </w:r>
      <w:proofErr w:type="gramStart"/>
      <w:r w:rsidRPr="00B10F13">
        <w:rPr>
          <w:rFonts w:asciiTheme="majorHAnsi" w:hAnsiTheme="majorHAnsi" w:cstheme="majorHAnsi"/>
        </w:rPr>
        <w:t>reviewed</w:t>
      </w:r>
      <w:proofErr w:type="gramEnd"/>
      <w:r w:rsidRPr="00B10F13">
        <w:rPr>
          <w:rFonts w:asciiTheme="majorHAnsi" w:hAnsiTheme="majorHAnsi" w:cstheme="majorHAnsi"/>
        </w:rPr>
        <w:t xml:space="preserve"> and evaluated to ensure </w:t>
      </w:r>
      <w:r w:rsidR="00E11941">
        <w:rPr>
          <w:rFonts w:asciiTheme="majorHAnsi" w:hAnsiTheme="majorHAnsi" w:cstheme="majorHAnsi"/>
        </w:rPr>
        <w:t xml:space="preserve">the </w:t>
      </w:r>
      <w:r w:rsidRPr="00B10F13">
        <w:rPr>
          <w:rFonts w:asciiTheme="majorHAnsi" w:hAnsiTheme="majorHAnsi" w:cstheme="majorHAnsi"/>
        </w:rPr>
        <w:t>risks for the council and for the partnership are assessed, agreed and managed.</w:t>
      </w:r>
    </w:p>
    <w:p w14:paraId="6FD71AFB" w14:textId="77777777" w:rsidR="00690B12" w:rsidRPr="00690B12" w:rsidRDefault="00690B12" w:rsidP="00690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2042A7A" w14:textId="685AB57A" w:rsidR="00B10F13" w:rsidRPr="00337315" w:rsidRDefault="005D5962" w:rsidP="00B10F13">
      <w:pPr>
        <w:jc w:val="both"/>
        <w:rPr>
          <w:rFonts w:asciiTheme="majorHAnsi" w:hAnsiTheme="majorHAnsi" w:cstheme="majorHAnsi"/>
          <w:b/>
          <w:bCs/>
          <w:color w:val="147FA8"/>
          <w:sz w:val="28"/>
          <w:szCs w:val="28"/>
          <w:lang w:val="en-US"/>
        </w:rPr>
      </w:pPr>
      <w:r w:rsidRPr="00337315">
        <w:rPr>
          <w:rFonts w:asciiTheme="majorHAnsi" w:hAnsiTheme="majorHAnsi" w:cstheme="majorHAnsi"/>
          <w:b/>
          <w:bCs/>
          <w:color w:val="147FA8"/>
          <w:sz w:val="28"/>
          <w:szCs w:val="28"/>
          <w:lang w:val="en-US"/>
        </w:rPr>
        <w:t>What is a key contract or partnership?</w:t>
      </w:r>
    </w:p>
    <w:p w14:paraId="202E0DFA" w14:textId="57321B6C" w:rsidR="005D5962" w:rsidRPr="00337315" w:rsidRDefault="001672E6" w:rsidP="00337315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It </w:t>
      </w:r>
      <w:r w:rsidR="005D5962" w:rsidRPr="00337315">
        <w:rPr>
          <w:rFonts w:asciiTheme="majorHAnsi" w:hAnsiTheme="majorHAnsi" w:cstheme="majorHAnsi"/>
          <w:lang w:val="en-US"/>
        </w:rPr>
        <w:t>is important to define what we mean by</w:t>
      </w:r>
      <w:r w:rsidR="00337315" w:rsidRPr="00337315">
        <w:rPr>
          <w:rFonts w:asciiTheme="majorHAnsi" w:hAnsiTheme="majorHAnsi" w:cstheme="majorHAnsi"/>
          <w:lang w:val="en-US"/>
        </w:rPr>
        <w:t xml:space="preserve"> a</w:t>
      </w:r>
      <w:r w:rsidR="005D5962" w:rsidRPr="00337315">
        <w:rPr>
          <w:rFonts w:asciiTheme="majorHAnsi" w:hAnsiTheme="majorHAnsi" w:cstheme="majorHAnsi"/>
          <w:lang w:val="en-US"/>
        </w:rPr>
        <w:t xml:space="preserve"> key contract or partnership:</w:t>
      </w:r>
    </w:p>
    <w:p w14:paraId="36BBFA1F" w14:textId="56AC8014" w:rsidR="005D5962" w:rsidRPr="00337315" w:rsidRDefault="005D5962" w:rsidP="005D596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37315">
        <w:rPr>
          <w:rFonts w:asciiTheme="majorHAnsi" w:hAnsiTheme="majorHAnsi" w:cstheme="majorHAnsi"/>
        </w:rPr>
        <w:t xml:space="preserve">Contractual arrangements with organisations, both to provide services on behalf of the </w:t>
      </w:r>
      <w:r w:rsidR="000630CB" w:rsidRPr="00337315">
        <w:rPr>
          <w:rFonts w:asciiTheme="majorHAnsi" w:hAnsiTheme="majorHAnsi" w:cstheme="majorHAnsi"/>
        </w:rPr>
        <w:t>Council</w:t>
      </w:r>
      <w:r w:rsidRPr="00337315">
        <w:rPr>
          <w:rFonts w:asciiTheme="majorHAnsi" w:hAnsiTheme="majorHAnsi" w:cstheme="majorHAnsi"/>
        </w:rPr>
        <w:t xml:space="preserve"> </w:t>
      </w:r>
      <w:proofErr w:type="gramStart"/>
      <w:r w:rsidRPr="00337315">
        <w:rPr>
          <w:rFonts w:asciiTheme="majorHAnsi" w:hAnsiTheme="majorHAnsi" w:cstheme="majorHAnsi"/>
        </w:rPr>
        <w:t>and also</w:t>
      </w:r>
      <w:proofErr w:type="gramEnd"/>
      <w:r w:rsidRPr="00337315">
        <w:rPr>
          <w:rFonts w:asciiTheme="majorHAnsi" w:hAnsiTheme="majorHAnsi" w:cstheme="majorHAnsi"/>
        </w:rPr>
        <w:t xml:space="preserve"> to supply the </w:t>
      </w:r>
      <w:r w:rsidR="000630CB" w:rsidRPr="00337315">
        <w:rPr>
          <w:rFonts w:asciiTheme="majorHAnsi" w:hAnsiTheme="majorHAnsi" w:cstheme="majorHAnsi"/>
        </w:rPr>
        <w:t>Council</w:t>
      </w:r>
      <w:r w:rsidRPr="00337315">
        <w:rPr>
          <w:rFonts w:asciiTheme="majorHAnsi" w:hAnsiTheme="majorHAnsi" w:cstheme="majorHAnsi"/>
        </w:rPr>
        <w:t xml:space="preserve"> with products and services to support the smooth running of </w:t>
      </w:r>
      <w:r w:rsidR="000630CB" w:rsidRPr="00337315">
        <w:rPr>
          <w:rFonts w:asciiTheme="majorHAnsi" w:hAnsiTheme="majorHAnsi" w:cstheme="majorHAnsi"/>
        </w:rPr>
        <w:t>Council</w:t>
      </w:r>
      <w:r w:rsidRPr="00337315">
        <w:rPr>
          <w:rFonts w:asciiTheme="majorHAnsi" w:hAnsiTheme="majorHAnsi" w:cstheme="majorHAnsi"/>
        </w:rPr>
        <w:t xml:space="preserve"> services.</w:t>
      </w:r>
    </w:p>
    <w:p w14:paraId="4D86A59D" w14:textId="58F72AF3" w:rsidR="005D5962" w:rsidRPr="00337315" w:rsidRDefault="005D5962" w:rsidP="005D596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37315">
        <w:rPr>
          <w:rFonts w:asciiTheme="majorHAnsi" w:hAnsiTheme="majorHAnsi" w:cstheme="majorHAnsi"/>
        </w:rPr>
        <w:t>Organisations f</w:t>
      </w:r>
      <w:r w:rsidR="00425767" w:rsidRPr="00337315">
        <w:rPr>
          <w:rFonts w:asciiTheme="majorHAnsi" w:hAnsiTheme="majorHAnsi" w:cstheme="majorHAnsi"/>
        </w:rPr>
        <w:t>rom</w:t>
      </w:r>
      <w:r w:rsidRPr="00337315">
        <w:rPr>
          <w:rFonts w:asciiTheme="majorHAnsi" w:hAnsiTheme="majorHAnsi" w:cstheme="majorHAnsi"/>
        </w:rPr>
        <w:t xml:space="preserve"> various sectors that the </w:t>
      </w:r>
      <w:r w:rsidR="000630CB" w:rsidRPr="00337315">
        <w:rPr>
          <w:rFonts w:asciiTheme="majorHAnsi" w:hAnsiTheme="majorHAnsi" w:cstheme="majorHAnsi"/>
        </w:rPr>
        <w:t>Council</w:t>
      </w:r>
      <w:r w:rsidRPr="00337315">
        <w:rPr>
          <w:rFonts w:asciiTheme="majorHAnsi" w:hAnsiTheme="majorHAnsi" w:cstheme="majorHAnsi"/>
        </w:rPr>
        <w:t xml:space="preserve"> brings together to improve outcomes for local people by working together.</w:t>
      </w:r>
    </w:p>
    <w:p w14:paraId="3587DF86" w14:textId="75E0B078" w:rsidR="006834C0" w:rsidRPr="00337315" w:rsidRDefault="006834C0" w:rsidP="006834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DD2253D" w14:textId="14A4BBE9" w:rsidR="006834C0" w:rsidRPr="00337315" w:rsidRDefault="006834C0" w:rsidP="006834C0">
      <w:pPr>
        <w:jc w:val="both"/>
        <w:rPr>
          <w:rFonts w:asciiTheme="majorHAnsi" w:hAnsiTheme="majorHAnsi" w:cstheme="majorHAnsi"/>
          <w:lang w:val="en-US"/>
        </w:rPr>
      </w:pPr>
      <w:r w:rsidRPr="00337315">
        <w:rPr>
          <w:rFonts w:asciiTheme="majorHAnsi" w:hAnsiTheme="majorHAnsi" w:cstheme="majorHAnsi"/>
          <w:lang w:val="en-US"/>
        </w:rPr>
        <w:t xml:space="preserve">The Council is involved in many contracts and partnerships therefore it is </w:t>
      </w:r>
      <w:r w:rsidR="001672E6">
        <w:rPr>
          <w:rFonts w:asciiTheme="majorHAnsi" w:hAnsiTheme="majorHAnsi" w:cstheme="majorHAnsi"/>
          <w:lang w:val="en-US"/>
        </w:rPr>
        <w:t xml:space="preserve">important </w:t>
      </w:r>
      <w:r w:rsidRPr="00337315">
        <w:rPr>
          <w:rFonts w:asciiTheme="majorHAnsi" w:hAnsiTheme="majorHAnsi" w:cstheme="majorHAnsi"/>
          <w:lang w:val="en-US"/>
        </w:rPr>
        <w:t xml:space="preserve">to outline the reasons why some contracts or partnerships </w:t>
      </w:r>
      <w:r w:rsidR="001672E6">
        <w:rPr>
          <w:rFonts w:asciiTheme="majorHAnsi" w:hAnsiTheme="majorHAnsi" w:cstheme="majorHAnsi"/>
          <w:lang w:val="en-US"/>
        </w:rPr>
        <w:t xml:space="preserve">warrant more consideration </w:t>
      </w:r>
      <w:r w:rsidRPr="00337315">
        <w:rPr>
          <w:rFonts w:asciiTheme="majorHAnsi" w:hAnsiTheme="majorHAnsi" w:cstheme="majorHAnsi"/>
          <w:lang w:val="en-US"/>
        </w:rPr>
        <w:t>than others</w:t>
      </w:r>
      <w:r w:rsidR="00716C04" w:rsidRPr="00337315">
        <w:rPr>
          <w:rFonts w:asciiTheme="majorHAnsi" w:hAnsiTheme="majorHAnsi" w:cstheme="majorHAnsi"/>
          <w:lang w:val="en-US"/>
        </w:rPr>
        <w:t>, particularly in terms of the following:</w:t>
      </w:r>
    </w:p>
    <w:p w14:paraId="11EB7020" w14:textId="77777777" w:rsidR="006834C0" w:rsidRPr="00337315" w:rsidRDefault="006834C0" w:rsidP="006834C0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  <w:lang w:val="en-US"/>
        </w:rPr>
      </w:pPr>
      <w:r w:rsidRPr="00337315">
        <w:rPr>
          <w:rFonts w:asciiTheme="majorHAnsi" w:hAnsiTheme="majorHAnsi" w:cstheme="majorHAnsi"/>
          <w:lang w:val="en-US"/>
        </w:rPr>
        <w:t>There is significant impact on the delivery of the Council’s strategic objectives</w:t>
      </w:r>
    </w:p>
    <w:p w14:paraId="103942BC" w14:textId="77777777" w:rsidR="006834C0" w:rsidRPr="00337315" w:rsidRDefault="006834C0" w:rsidP="006834C0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  <w:lang w:val="en-US"/>
        </w:rPr>
      </w:pPr>
      <w:r w:rsidRPr="00337315">
        <w:rPr>
          <w:rFonts w:asciiTheme="majorHAnsi" w:hAnsiTheme="majorHAnsi" w:cstheme="majorHAnsi"/>
          <w:lang w:val="en-US"/>
        </w:rPr>
        <w:t>There is a large reliance on the proposed partner to deliver core services</w:t>
      </w:r>
    </w:p>
    <w:p w14:paraId="7FC1E83B" w14:textId="77777777" w:rsidR="006834C0" w:rsidRPr="00337315" w:rsidRDefault="006834C0" w:rsidP="006834C0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  <w:lang w:val="en-US"/>
        </w:rPr>
      </w:pPr>
      <w:r w:rsidRPr="00337315">
        <w:rPr>
          <w:rFonts w:asciiTheme="majorHAnsi" w:hAnsiTheme="majorHAnsi" w:cstheme="majorHAnsi"/>
          <w:lang w:val="en-US"/>
        </w:rPr>
        <w:t>There is significant financial value</w:t>
      </w:r>
    </w:p>
    <w:p w14:paraId="4CF719A4" w14:textId="77777777" w:rsidR="006834C0" w:rsidRPr="00163EBF" w:rsidRDefault="006834C0" w:rsidP="006834C0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  <w:lang w:val="en-US"/>
        </w:rPr>
      </w:pPr>
      <w:r w:rsidRPr="00163EBF">
        <w:rPr>
          <w:rFonts w:asciiTheme="majorHAnsi" w:hAnsiTheme="majorHAnsi" w:cstheme="majorHAnsi"/>
          <w:lang w:val="en-US"/>
        </w:rPr>
        <w:t xml:space="preserve">The scale of human and other resources involved is large </w:t>
      </w:r>
    </w:p>
    <w:p w14:paraId="3E9F8C4F" w14:textId="77777777" w:rsidR="006834C0" w:rsidRPr="00163EBF" w:rsidRDefault="006834C0" w:rsidP="006834C0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  <w:lang w:val="en-US"/>
        </w:rPr>
      </w:pPr>
      <w:r w:rsidRPr="00163EBF">
        <w:rPr>
          <w:rFonts w:asciiTheme="majorHAnsi" w:hAnsiTheme="majorHAnsi" w:cstheme="majorHAnsi"/>
          <w:lang w:val="en-US"/>
        </w:rPr>
        <w:t xml:space="preserve">The length/timescales of the commitment are significant </w:t>
      </w:r>
    </w:p>
    <w:p w14:paraId="47DEEA5F" w14:textId="23151E06" w:rsidR="006834C0" w:rsidRDefault="006834C0" w:rsidP="006834C0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  <w:lang w:val="en-US"/>
        </w:rPr>
      </w:pPr>
      <w:r w:rsidRPr="00163EBF">
        <w:rPr>
          <w:rFonts w:asciiTheme="majorHAnsi" w:hAnsiTheme="majorHAnsi" w:cstheme="majorHAnsi"/>
          <w:lang w:val="en-US"/>
        </w:rPr>
        <w:t>There is a significant degree of risk</w:t>
      </w:r>
    </w:p>
    <w:p w14:paraId="7C2D8D10" w14:textId="0EC98ED9" w:rsidR="00716C04" w:rsidRPr="00716C04" w:rsidRDefault="00716C04" w:rsidP="00716C04">
      <w:pPr>
        <w:jc w:val="both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These differences determine the </w:t>
      </w:r>
      <w:r w:rsidRPr="00163EBF">
        <w:rPr>
          <w:rFonts w:asciiTheme="majorHAnsi" w:hAnsiTheme="majorHAnsi" w:cstheme="majorHAnsi"/>
          <w:lang w:val="en-US"/>
        </w:rPr>
        <w:t xml:space="preserve">level of governance and risk management that </w:t>
      </w:r>
      <w:r>
        <w:rPr>
          <w:rFonts w:asciiTheme="majorHAnsi" w:hAnsiTheme="majorHAnsi" w:cstheme="majorHAnsi"/>
          <w:lang w:val="en-US"/>
        </w:rPr>
        <w:t xml:space="preserve">is needed </w:t>
      </w:r>
      <w:r w:rsidR="00AA0C73">
        <w:rPr>
          <w:rFonts w:asciiTheme="majorHAnsi" w:hAnsiTheme="majorHAnsi" w:cstheme="majorHAnsi"/>
          <w:lang w:val="en-US"/>
        </w:rPr>
        <w:t xml:space="preserve">for the key contracts and partnerships identified and managed </w:t>
      </w:r>
      <w:r>
        <w:rPr>
          <w:rFonts w:asciiTheme="majorHAnsi" w:hAnsiTheme="majorHAnsi" w:cstheme="majorHAnsi"/>
          <w:lang w:val="en-US"/>
        </w:rPr>
        <w:t>through this framework.</w:t>
      </w:r>
    </w:p>
    <w:p w14:paraId="1B3FF4E7" w14:textId="77777777" w:rsidR="005D5962" w:rsidRPr="005D5962" w:rsidRDefault="005D5962" w:rsidP="005D596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5F3C72" w14:textId="4170D1D1" w:rsidR="00163EBF" w:rsidRDefault="00163EBF" w:rsidP="009C6B21">
      <w:pPr>
        <w:jc w:val="both"/>
        <w:rPr>
          <w:rFonts w:asciiTheme="majorHAnsi" w:hAnsiTheme="majorHAnsi" w:cstheme="majorHAnsi"/>
          <w:b/>
          <w:bCs/>
          <w:color w:val="147FA8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bCs/>
          <w:color w:val="147FA8"/>
          <w:sz w:val="28"/>
          <w:szCs w:val="28"/>
          <w:lang w:val="en-US"/>
        </w:rPr>
        <w:t>Existing key contracts and partnerships</w:t>
      </w:r>
    </w:p>
    <w:p w14:paraId="7A52D0A3" w14:textId="5B7B7B0A" w:rsidR="0040452A" w:rsidRDefault="001672E6" w:rsidP="001672E6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</w:t>
      </w:r>
      <w:r w:rsidR="00425767">
        <w:rPr>
          <w:rFonts w:cstheme="minorHAnsi"/>
          <w:lang w:val="en-US"/>
        </w:rPr>
        <w:t>key contracts and partnerships currently to be managed through this framework are:</w:t>
      </w:r>
    </w:p>
    <w:p w14:paraId="65A9A452" w14:textId="7AC7CD9A" w:rsidR="00E856F1" w:rsidRDefault="00E856F1" w:rsidP="001672E6">
      <w:pPr>
        <w:pStyle w:val="ListParagraph"/>
        <w:numPr>
          <w:ilvl w:val="0"/>
          <w:numId w:val="16"/>
        </w:numPr>
        <w:rPr>
          <w:rFonts w:cstheme="minorHAnsi"/>
          <w:lang w:val="en-US"/>
        </w:rPr>
      </w:pPr>
      <w:r w:rsidRPr="00162386">
        <w:rPr>
          <w:rFonts w:cstheme="minorHAnsi"/>
          <w:b/>
          <w:bCs/>
          <w:lang w:val="en-US"/>
        </w:rPr>
        <w:t xml:space="preserve">Select Move </w:t>
      </w:r>
      <w:r w:rsidR="00EA6AB9">
        <w:rPr>
          <w:rFonts w:cstheme="minorHAnsi"/>
          <w:b/>
          <w:bCs/>
          <w:lang w:val="en-US"/>
        </w:rPr>
        <w:t>P</w:t>
      </w:r>
      <w:r w:rsidRPr="00162386">
        <w:rPr>
          <w:rFonts w:cstheme="minorHAnsi"/>
          <w:b/>
          <w:bCs/>
          <w:lang w:val="en-US"/>
        </w:rPr>
        <w:t>artnership</w:t>
      </w:r>
      <w:r>
        <w:rPr>
          <w:rFonts w:cstheme="minorHAnsi"/>
          <w:lang w:val="en-US"/>
        </w:rPr>
        <w:t xml:space="preserve"> – </w:t>
      </w:r>
      <w:r w:rsidR="001672E6">
        <w:t>choice-based housing</w:t>
      </w:r>
      <w:r>
        <w:t xml:space="preserve"> lettings partnership and allocations policy.</w:t>
      </w:r>
    </w:p>
    <w:p w14:paraId="3801A784" w14:textId="3F7EFA7E" w:rsidR="00E856F1" w:rsidRPr="00E856F1" w:rsidRDefault="00E856F1" w:rsidP="001672E6">
      <w:pPr>
        <w:pStyle w:val="ListParagraph"/>
        <w:numPr>
          <w:ilvl w:val="0"/>
          <w:numId w:val="16"/>
        </w:numPr>
        <w:rPr>
          <w:rFonts w:cstheme="minorHAnsi"/>
          <w:lang w:val="en-US"/>
        </w:rPr>
      </w:pPr>
      <w:r w:rsidRPr="00162386">
        <w:rPr>
          <w:rFonts w:cstheme="minorHAnsi"/>
          <w:b/>
          <w:bCs/>
          <w:lang w:val="en-US"/>
        </w:rPr>
        <w:t>Capita</w:t>
      </w:r>
      <w:r w:rsidRPr="00E856F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– </w:t>
      </w:r>
      <w:r>
        <w:t xml:space="preserve">key supplier of revenues and benefits software and associated services, including managed system support for the </w:t>
      </w:r>
      <w:r w:rsidR="000630CB">
        <w:t>Council</w:t>
      </w:r>
      <w:r>
        <w:t>.</w:t>
      </w:r>
    </w:p>
    <w:p w14:paraId="32843F4E" w14:textId="4F945B37" w:rsidR="00E856F1" w:rsidRPr="00E856F1" w:rsidRDefault="00E856F1" w:rsidP="001672E6">
      <w:pPr>
        <w:pStyle w:val="ListParagraph"/>
        <w:numPr>
          <w:ilvl w:val="0"/>
          <w:numId w:val="16"/>
        </w:numPr>
        <w:rPr>
          <w:rFonts w:cstheme="minorHAnsi"/>
          <w:lang w:val="en-US"/>
        </w:rPr>
      </w:pPr>
      <w:r w:rsidRPr="00162386">
        <w:rPr>
          <w:rFonts w:cstheme="minorHAnsi"/>
          <w:b/>
          <w:bCs/>
          <w:lang w:val="en-US"/>
        </w:rPr>
        <w:t>IDOX</w:t>
      </w:r>
      <w:r>
        <w:rPr>
          <w:rFonts w:cstheme="minorHAnsi"/>
          <w:lang w:val="en-US"/>
        </w:rPr>
        <w:t xml:space="preserve"> – </w:t>
      </w:r>
      <w:r>
        <w:t xml:space="preserve">key supplier, providing the </w:t>
      </w:r>
      <w:r w:rsidR="000630CB">
        <w:t>Council</w:t>
      </w:r>
      <w:r>
        <w:t xml:space="preserve"> with support for ICT, </w:t>
      </w:r>
      <w:r w:rsidR="001672E6">
        <w:t>d</w:t>
      </w:r>
      <w:r>
        <w:t xml:space="preserve">emocratic and </w:t>
      </w:r>
      <w:r w:rsidR="001672E6">
        <w:t>l</w:t>
      </w:r>
      <w:r>
        <w:t>icensing services.</w:t>
      </w:r>
    </w:p>
    <w:p w14:paraId="167D70B3" w14:textId="1115B983" w:rsidR="00E856F1" w:rsidRPr="00E856F1" w:rsidRDefault="00E856F1" w:rsidP="001672E6">
      <w:pPr>
        <w:pStyle w:val="ListParagraph"/>
        <w:numPr>
          <w:ilvl w:val="0"/>
          <w:numId w:val="16"/>
        </w:numPr>
        <w:rPr>
          <w:rFonts w:cstheme="minorHAnsi"/>
          <w:lang w:val="en-US"/>
        </w:rPr>
      </w:pPr>
      <w:r w:rsidRPr="00162386">
        <w:rPr>
          <w:rFonts w:cstheme="minorHAnsi"/>
          <w:b/>
          <w:bCs/>
          <w:lang w:val="en-US"/>
        </w:rPr>
        <w:t>FCC Environment</w:t>
      </w:r>
      <w:r w:rsidRPr="00E856F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– </w:t>
      </w:r>
      <w:r>
        <w:t>to deliver the waste contract, providing a waste and recycling collection service.</w:t>
      </w:r>
    </w:p>
    <w:p w14:paraId="1F5AC426" w14:textId="5C508500" w:rsidR="00E856F1" w:rsidRDefault="00E856F1" w:rsidP="001672E6">
      <w:pPr>
        <w:pStyle w:val="ListParagraph"/>
        <w:numPr>
          <w:ilvl w:val="0"/>
          <w:numId w:val="16"/>
        </w:numPr>
        <w:rPr>
          <w:rFonts w:cstheme="minorHAnsi"/>
          <w:lang w:val="en-US"/>
        </w:rPr>
      </w:pPr>
      <w:proofErr w:type="spellStart"/>
      <w:r w:rsidRPr="00162386">
        <w:rPr>
          <w:rFonts w:cstheme="minorHAnsi"/>
          <w:b/>
          <w:bCs/>
          <w:lang w:val="en-US"/>
        </w:rPr>
        <w:t>Firmstep</w:t>
      </w:r>
      <w:proofErr w:type="spellEnd"/>
      <w:r>
        <w:rPr>
          <w:rFonts w:cstheme="minorHAnsi"/>
          <w:lang w:val="en-US"/>
        </w:rPr>
        <w:t xml:space="preserve"> – </w:t>
      </w:r>
      <w:r>
        <w:t>to deliver the C</w:t>
      </w:r>
      <w:r w:rsidR="001672E6">
        <w:t xml:space="preserve">ustomer </w:t>
      </w:r>
      <w:r>
        <w:t>R</w:t>
      </w:r>
      <w:r w:rsidR="001672E6">
        <w:t xml:space="preserve">elationship </w:t>
      </w:r>
      <w:r>
        <w:t>M</w:t>
      </w:r>
      <w:r w:rsidR="001672E6">
        <w:t>anagement</w:t>
      </w:r>
      <w:r>
        <w:t>, T</w:t>
      </w:r>
      <w:r w:rsidR="001672E6">
        <w:t xml:space="preserve">ime </w:t>
      </w:r>
      <w:r>
        <w:t>M</w:t>
      </w:r>
      <w:r w:rsidR="001672E6">
        <w:t xml:space="preserve">anagement </w:t>
      </w:r>
      <w:proofErr w:type="gramStart"/>
      <w:r>
        <w:t>S</w:t>
      </w:r>
      <w:r w:rsidR="001672E6">
        <w:t>ystem</w:t>
      </w:r>
      <w:proofErr w:type="gramEnd"/>
      <w:r w:rsidR="001672E6">
        <w:t xml:space="preserve"> and</w:t>
      </w:r>
      <w:r>
        <w:t xml:space="preserve"> </w:t>
      </w:r>
      <w:r w:rsidR="001672E6">
        <w:t>single sign-on</w:t>
      </w:r>
      <w:r>
        <w:t xml:space="preserve"> technology.  </w:t>
      </w:r>
    </w:p>
    <w:p w14:paraId="4E457C46" w14:textId="69C15F1C" w:rsidR="00E856F1" w:rsidRPr="00E856F1" w:rsidRDefault="00E856F1" w:rsidP="001672E6">
      <w:pPr>
        <w:pStyle w:val="ListParagraph"/>
        <w:numPr>
          <w:ilvl w:val="0"/>
          <w:numId w:val="16"/>
        </w:numPr>
        <w:rPr>
          <w:rFonts w:cstheme="minorHAnsi"/>
          <w:lang w:val="en-US"/>
        </w:rPr>
      </w:pPr>
      <w:r w:rsidRPr="00162386">
        <w:rPr>
          <w:b/>
          <w:bCs/>
        </w:rPr>
        <w:lastRenderedPageBreak/>
        <w:t xml:space="preserve">Local </w:t>
      </w:r>
      <w:r w:rsidR="00EA6AB9">
        <w:rPr>
          <w:b/>
          <w:bCs/>
        </w:rPr>
        <w:t>P</w:t>
      </w:r>
      <w:r w:rsidRPr="00162386">
        <w:rPr>
          <w:b/>
          <w:bCs/>
        </w:rPr>
        <w:t xml:space="preserve">lan </w:t>
      </w:r>
      <w:r w:rsidR="00EA6AB9">
        <w:rPr>
          <w:b/>
          <w:bCs/>
        </w:rPr>
        <w:t>P</w:t>
      </w:r>
      <w:r w:rsidRPr="00162386">
        <w:rPr>
          <w:b/>
          <w:bCs/>
        </w:rPr>
        <w:t xml:space="preserve">artnership </w:t>
      </w:r>
      <w:r w:rsidR="00EA6AB9">
        <w:rPr>
          <w:b/>
          <w:bCs/>
        </w:rPr>
        <w:t>(</w:t>
      </w:r>
      <w:r w:rsidRPr="00162386">
        <w:rPr>
          <w:b/>
          <w:bCs/>
        </w:rPr>
        <w:t xml:space="preserve">South Ribble </w:t>
      </w:r>
      <w:r w:rsidR="001672E6">
        <w:rPr>
          <w:b/>
          <w:bCs/>
        </w:rPr>
        <w:t xml:space="preserve">Borough </w:t>
      </w:r>
      <w:r w:rsidR="000630CB" w:rsidRPr="00162386">
        <w:rPr>
          <w:b/>
          <w:bCs/>
        </w:rPr>
        <w:t>Council</w:t>
      </w:r>
      <w:r w:rsidRPr="00162386">
        <w:rPr>
          <w:b/>
          <w:bCs/>
        </w:rPr>
        <w:t xml:space="preserve">, Chorley </w:t>
      </w:r>
      <w:r w:rsidR="000630CB" w:rsidRPr="00162386">
        <w:rPr>
          <w:b/>
          <w:bCs/>
        </w:rPr>
        <w:t>Council</w:t>
      </w:r>
      <w:r w:rsidRPr="00162386">
        <w:rPr>
          <w:b/>
          <w:bCs/>
        </w:rPr>
        <w:t xml:space="preserve"> and Preston City </w:t>
      </w:r>
      <w:r w:rsidR="000630CB" w:rsidRPr="00162386">
        <w:rPr>
          <w:b/>
          <w:bCs/>
        </w:rPr>
        <w:t>Council</w:t>
      </w:r>
      <w:r w:rsidR="00EA6AB9">
        <w:rPr>
          <w:b/>
          <w:bCs/>
        </w:rPr>
        <w:t>)</w:t>
      </w:r>
      <w:r>
        <w:t xml:space="preserve"> – to develop and deliver the local plan for 2023.</w:t>
      </w:r>
    </w:p>
    <w:p w14:paraId="0DCACF70" w14:textId="16556255" w:rsidR="00E856F1" w:rsidRDefault="00E856F1" w:rsidP="001672E6">
      <w:pPr>
        <w:pStyle w:val="ListParagraph"/>
        <w:numPr>
          <w:ilvl w:val="0"/>
          <w:numId w:val="16"/>
        </w:numPr>
      </w:pPr>
      <w:r w:rsidRPr="00162386">
        <w:rPr>
          <w:b/>
          <w:bCs/>
        </w:rPr>
        <w:t>Preston, South Ribble and Lancashire City Deal</w:t>
      </w:r>
      <w:r>
        <w:t xml:space="preserve"> – </w:t>
      </w:r>
      <w:r w:rsidR="00A87641">
        <w:t>t</w:t>
      </w:r>
      <w:r>
        <w:t>o deliver infrastructure investment in Central Lancashire.</w:t>
      </w:r>
    </w:p>
    <w:p w14:paraId="64AA0CFA" w14:textId="77733264" w:rsidR="00096864" w:rsidRDefault="00096864" w:rsidP="001672E6">
      <w:pPr>
        <w:pStyle w:val="ListParagraph"/>
        <w:numPr>
          <w:ilvl w:val="0"/>
          <w:numId w:val="16"/>
        </w:numPr>
      </w:pPr>
      <w:r>
        <w:rPr>
          <w:b/>
          <w:bCs/>
        </w:rPr>
        <w:t xml:space="preserve">Shared services with Chorley Council </w:t>
      </w:r>
      <w:r>
        <w:t>– two sovereign councils working together with shared functions to deliver council services.</w:t>
      </w:r>
    </w:p>
    <w:p w14:paraId="6BC6B548" w14:textId="5FC12564" w:rsidR="00E856F1" w:rsidRDefault="00E856F1" w:rsidP="001672E6">
      <w:pPr>
        <w:pStyle w:val="ListParagraph"/>
        <w:numPr>
          <w:ilvl w:val="0"/>
          <w:numId w:val="16"/>
        </w:numPr>
      </w:pPr>
      <w:proofErr w:type="spellStart"/>
      <w:r w:rsidRPr="00162386">
        <w:rPr>
          <w:b/>
          <w:bCs/>
        </w:rPr>
        <w:t>Civica</w:t>
      </w:r>
      <w:proofErr w:type="spellEnd"/>
      <w:r w:rsidRPr="00E856F1">
        <w:t xml:space="preserve"> </w:t>
      </w:r>
      <w:r w:rsidR="00A87641">
        <w:t>– provides a core financials system software licence and maintenance.</w:t>
      </w:r>
    </w:p>
    <w:p w14:paraId="09CA7782" w14:textId="47AD5B84" w:rsidR="00E856F1" w:rsidRPr="00E856F1" w:rsidRDefault="00E856F1" w:rsidP="001672E6">
      <w:pPr>
        <w:pStyle w:val="ListParagraph"/>
        <w:numPr>
          <w:ilvl w:val="0"/>
          <w:numId w:val="16"/>
        </w:numPr>
      </w:pPr>
      <w:r w:rsidRPr="00162386">
        <w:rPr>
          <w:b/>
          <w:bCs/>
        </w:rPr>
        <w:t xml:space="preserve">Lancashire County </w:t>
      </w:r>
      <w:r w:rsidR="000630CB" w:rsidRPr="00162386">
        <w:rPr>
          <w:b/>
          <w:bCs/>
        </w:rPr>
        <w:t>Council</w:t>
      </w:r>
      <w:r w:rsidR="005D5962">
        <w:t xml:space="preserve"> – provides the payroll and expenses services.</w:t>
      </w:r>
    </w:p>
    <w:p w14:paraId="0A156789" w14:textId="201BFD40" w:rsidR="00163EBF" w:rsidRPr="001B6A2F" w:rsidRDefault="0040452A" w:rsidP="001672E6">
      <w:pPr>
        <w:rPr>
          <w:rFonts w:cstheme="minorHAnsi"/>
          <w:lang w:val="en-US"/>
        </w:rPr>
      </w:pPr>
      <w:r w:rsidRPr="0040452A">
        <w:rPr>
          <w:rFonts w:cstheme="minorHAnsi"/>
          <w:lang w:val="en-US"/>
        </w:rPr>
        <w:t>This list will be kept under review an</w:t>
      </w:r>
      <w:r>
        <w:rPr>
          <w:rFonts w:cstheme="minorHAnsi"/>
          <w:lang w:val="en-US"/>
        </w:rPr>
        <w:t xml:space="preserve">d </w:t>
      </w:r>
      <w:r w:rsidRPr="0040452A">
        <w:rPr>
          <w:rFonts w:cstheme="minorHAnsi"/>
          <w:lang w:val="en-US"/>
        </w:rPr>
        <w:t>amended to reflect any change in status or to accommodate important ne</w:t>
      </w:r>
      <w:r>
        <w:rPr>
          <w:rFonts w:cstheme="minorHAnsi"/>
          <w:lang w:val="en-US"/>
        </w:rPr>
        <w:t xml:space="preserve">w </w:t>
      </w:r>
      <w:r w:rsidR="00E63220">
        <w:rPr>
          <w:rFonts w:cstheme="minorHAnsi"/>
          <w:lang w:val="en-US"/>
        </w:rPr>
        <w:t xml:space="preserve">contracts or </w:t>
      </w:r>
      <w:r w:rsidRPr="0040452A">
        <w:rPr>
          <w:rFonts w:cstheme="minorHAnsi"/>
          <w:lang w:val="en-US"/>
        </w:rPr>
        <w:t>partnerships</w:t>
      </w:r>
      <w:r w:rsidR="005C6C96">
        <w:rPr>
          <w:rFonts w:cstheme="minorHAnsi"/>
          <w:lang w:val="en-US"/>
        </w:rPr>
        <w:t xml:space="preserve">. Full details of these </w:t>
      </w:r>
      <w:r w:rsidR="00E63220">
        <w:rPr>
          <w:rFonts w:cstheme="minorHAnsi"/>
          <w:lang w:val="en-US"/>
        </w:rPr>
        <w:t>listed</w:t>
      </w:r>
      <w:r w:rsidR="005C6C96">
        <w:rPr>
          <w:rFonts w:cstheme="minorHAnsi"/>
          <w:lang w:val="en-US"/>
        </w:rPr>
        <w:t xml:space="preserve"> can be found at Appendix A. </w:t>
      </w:r>
    </w:p>
    <w:p w14:paraId="2F819B0D" w14:textId="218E442B" w:rsidR="00B66D39" w:rsidRPr="00B66D39" w:rsidRDefault="00B66D39" w:rsidP="001672E6">
      <w:pPr>
        <w:rPr>
          <w:rFonts w:asciiTheme="majorHAnsi" w:hAnsiTheme="majorHAnsi" w:cstheme="majorHAnsi"/>
          <w:b/>
          <w:bCs/>
          <w:color w:val="147FA8"/>
          <w:lang w:val="en-US"/>
        </w:rPr>
      </w:pPr>
      <w:r>
        <w:rPr>
          <w:rFonts w:asciiTheme="majorHAnsi" w:hAnsiTheme="majorHAnsi" w:cstheme="majorHAnsi"/>
          <w:b/>
          <w:bCs/>
          <w:color w:val="147FA8"/>
          <w:lang w:val="en-US"/>
        </w:rPr>
        <w:t xml:space="preserve">Monitoring </w:t>
      </w:r>
    </w:p>
    <w:p w14:paraId="3B663FAD" w14:textId="77AA639A" w:rsidR="007E47DE" w:rsidRPr="007E47DE" w:rsidRDefault="007E47DE" w:rsidP="001672E6">
      <w:pPr>
        <w:rPr>
          <w:rFonts w:asciiTheme="majorHAnsi" w:hAnsiTheme="majorHAnsi" w:cstheme="majorHAnsi"/>
          <w:lang w:val="en-US"/>
        </w:rPr>
      </w:pPr>
      <w:r w:rsidRPr="007E47DE">
        <w:rPr>
          <w:rFonts w:asciiTheme="majorHAnsi" w:hAnsiTheme="majorHAnsi" w:cstheme="majorHAnsi"/>
          <w:lang w:val="en-US"/>
        </w:rPr>
        <w:t xml:space="preserve">To ensure that </w:t>
      </w:r>
      <w:r w:rsidR="0031092A">
        <w:rPr>
          <w:rFonts w:asciiTheme="majorHAnsi" w:hAnsiTheme="majorHAnsi" w:cstheme="majorHAnsi"/>
          <w:lang w:val="en-US"/>
        </w:rPr>
        <w:t xml:space="preserve">key </w:t>
      </w:r>
      <w:r w:rsidRPr="007E47DE">
        <w:rPr>
          <w:rFonts w:asciiTheme="majorHAnsi" w:hAnsiTheme="majorHAnsi" w:cstheme="majorHAnsi"/>
          <w:lang w:val="en-US"/>
        </w:rPr>
        <w:t>contracts and partnerships are closely monitored, the framework</w:t>
      </w:r>
      <w:r>
        <w:rPr>
          <w:rFonts w:asciiTheme="majorHAnsi" w:hAnsiTheme="majorHAnsi" w:cstheme="majorHAnsi"/>
          <w:lang w:val="en-US"/>
        </w:rPr>
        <w:t xml:space="preserve"> </w:t>
      </w:r>
      <w:r w:rsidRPr="007E47DE">
        <w:rPr>
          <w:rFonts w:asciiTheme="majorHAnsi" w:hAnsiTheme="majorHAnsi" w:cstheme="majorHAnsi"/>
          <w:lang w:val="en-US"/>
        </w:rPr>
        <w:t>set</w:t>
      </w:r>
      <w:r w:rsidR="00B66D39">
        <w:rPr>
          <w:rFonts w:asciiTheme="majorHAnsi" w:hAnsiTheme="majorHAnsi" w:cstheme="majorHAnsi"/>
          <w:lang w:val="en-US"/>
        </w:rPr>
        <w:t>s</w:t>
      </w:r>
      <w:r w:rsidRPr="007E47DE">
        <w:rPr>
          <w:rFonts w:asciiTheme="majorHAnsi" w:hAnsiTheme="majorHAnsi" w:cstheme="majorHAnsi"/>
          <w:lang w:val="en-US"/>
        </w:rPr>
        <w:t xml:space="preserve"> out a range of controls and measures. These safeguard the success of the contracts and partnerships and ensure that they achieve the </w:t>
      </w:r>
      <w:r w:rsidR="000630CB">
        <w:rPr>
          <w:rFonts w:asciiTheme="majorHAnsi" w:hAnsiTheme="majorHAnsi" w:cstheme="majorHAnsi"/>
          <w:lang w:val="en-US"/>
        </w:rPr>
        <w:t>Council</w:t>
      </w:r>
      <w:r w:rsidRPr="007E47DE">
        <w:rPr>
          <w:rFonts w:asciiTheme="majorHAnsi" w:hAnsiTheme="majorHAnsi" w:cstheme="majorHAnsi"/>
          <w:lang w:val="en-US"/>
        </w:rPr>
        <w:t xml:space="preserve">’s priorities and goals outlined in the Corporate Strategy. Where key partners already have strong governance and reporting arrangements in place then the key </w:t>
      </w:r>
      <w:r w:rsidR="0031092A">
        <w:rPr>
          <w:rFonts w:asciiTheme="majorHAnsi" w:hAnsiTheme="majorHAnsi" w:cstheme="majorHAnsi"/>
          <w:lang w:val="en-US"/>
        </w:rPr>
        <w:t xml:space="preserve">contract or </w:t>
      </w:r>
      <w:r w:rsidRPr="007E47DE">
        <w:rPr>
          <w:rFonts w:asciiTheme="majorHAnsi" w:hAnsiTheme="majorHAnsi" w:cstheme="majorHAnsi"/>
          <w:lang w:val="en-US"/>
        </w:rPr>
        <w:t>partnership reporting should not duplicate these but instead provide greater visibility.</w:t>
      </w:r>
    </w:p>
    <w:p w14:paraId="3EEC85FD" w14:textId="4BC344A6" w:rsidR="007E47DE" w:rsidRPr="001672E6" w:rsidRDefault="007E47DE" w:rsidP="001672E6">
      <w:pPr>
        <w:rPr>
          <w:rFonts w:cstheme="minorHAnsi"/>
          <w:lang w:val="en-US"/>
        </w:rPr>
      </w:pPr>
      <w:r w:rsidRPr="007E47DE">
        <w:rPr>
          <w:rFonts w:asciiTheme="majorHAnsi" w:hAnsiTheme="majorHAnsi" w:cstheme="majorHAnsi"/>
          <w:lang w:val="en-US"/>
        </w:rPr>
        <w:t xml:space="preserve">It is proposed that a performance update on key </w:t>
      </w:r>
      <w:r w:rsidR="0031092A">
        <w:rPr>
          <w:rFonts w:asciiTheme="majorHAnsi" w:hAnsiTheme="majorHAnsi" w:cstheme="majorHAnsi"/>
          <w:lang w:val="en-US"/>
        </w:rPr>
        <w:t xml:space="preserve">contracts and </w:t>
      </w:r>
      <w:r w:rsidRPr="007E47DE">
        <w:rPr>
          <w:rFonts w:asciiTheme="majorHAnsi" w:hAnsiTheme="majorHAnsi" w:cstheme="majorHAnsi"/>
          <w:lang w:val="en-US"/>
        </w:rPr>
        <w:t xml:space="preserve">partnerships will be taken through </w:t>
      </w:r>
      <w:r w:rsidRPr="001672E6">
        <w:rPr>
          <w:rFonts w:cstheme="minorHAnsi"/>
          <w:lang w:val="en-US"/>
        </w:rPr>
        <w:t>Cabinet annually. This will include the following:</w:t>
      </w:r>
    </w:p>
    <w:p w14:paraId="3857ED72" w14:textId="6D1DF844" w:rsidR="007E47DE" w:rsidRPr="001672E6" w:rsidRDefault="007E47DE" w:rsidP="001672E6">
      <w:pPr>
        <w:pStyle w:val="ListParagraph"/>
        <w:numPr>
          <w:ilvl w:val="0"/>
          <w:numId w:val="12"/>
        </w:numPr>
        <w:rPr>
          <w:rFonts w:cstheme="minorHAnsi"/>
          <w:lang w:val="en-US"/>
        </w:rPr>
      </w:pPr>
      <w:r w:rsidRPr="001672E6">
        <w:rPr>
          <w:rFonts w:cstheme="minorHAnsi"/>
          <w:lang w:val="en-US"/>
        </w:rPr>
        <w:t xml:space="preserve">The performance of the </w:t>
      </w:r>
      <w:r w:rsidR="000630CB" w:rsidRPr="001672E6">
        <w:rPr>
          <w:rFonts w:cstheme="minorHAnsi"/>
          <w:lang w:val="en-US"/>
        </w:rPr>
        <w:t>Council</w:t>
      </w:r>
      <w:r w:rsidRPr="001672E6">
        <w:rPr>
          <w:rFonts w:cstheme="minorHAnsi"/>
          <w:lang w:val="en-US"/>
        </w:rPr>
        <w:t xml:space="preserve">’s key contracts and partnerships against targets set for the current </w:t>
      </w:r>
      <w:proofErr w:type="gramStart"/>
      <w:r w:rsidRPr="001672E6">
        <w:rPr>
          <w:rFonts w:cstheme="minorHAnsi"/>
          <w:lang w:val="en-US"/>
        </w:rPr>
        <w:t>year;</w:t>
      </w:r>
      <w:proofErr w:type="gramEnd"/>
    </w:p>
    <w:p w14:paraId="473552A1" w14:textId="798682E1" w:rsidR="007E47DE" w:rsidRPr="001672E6" w:rsidRDefault="007E47DE" w:rsidP="001672E6">
      <w:pPr>
        <w:pStyle w:val="ListParagraph"/>
        <w:numPr>
          <w:ilvl w:val="0"/>
          <w:numId w:val="12"/>
        </w:numPr>
        <w:rPr>
          <w:rFonts w:cstheme="minorHAnsi"/>
          <w:lang w:val="en-US"/>
        </w:rPr>
      </w:pPr>
      <w:r w:rsidRPr="001672E6">
        <w:rPr>
          <w:rFonts w:cstheme="minorHAnsi"/>
          <w:lang w:val="en-US"/>
        </w:rPr>
        <w:t xml:space="preserve">Any emerging issues including whether contracts are on </w:t>
      </w:r>
      <w:proofErr w:type="gramStart"/>
      <w:r w:rsidRPr="001672E6">
        <w:rPr>
          <w:rFonts w:cstheme="minorHAnsi"/>
          <w:lang w:val="en-US"/>
        </w:rPr>
        <w:t>budget;</w:t>
      </w:r>
      <w:proofErr w:type="gramEnd"/>
    </w:p>
    <w:p w14:paraId="63AFB830" w14:textId="5FD17E87" w:rsidR="007E47DE" w:rsidRPr="001672E6" w:rsidRDefault="007E47DE" w:rsidP="001672E6">
      <w:pPr>
        <w:pStyle w:val="ListParagraph"/>
        <w:numPr>
          <w:ilvl w:val="0"/>
          <w:numId w:val="12"/>
        </w:numPr>
        <w:rPr>
          <w:rFonts w:cstheme="minorHAnsi"/>
          <w:lang w:val="en-US"/>
        </w:rPr>
      </w:pPr>
      <w:r w:rsidRPr="001672E6">
        <w:rPr>
          <w:rFonts w:cstheme="minorHAnsi"/>
          <w:lang w:val="en-US"/>
        </w:rPr>
        <w:t>A financial assessment of key partners strength and stability; and</w:t>
      </w:r>
    </w:p>
    <w:p w14:paraId="6739F123" w14:textId="22A4960D" w:rsidR="007E47DE" w:rsidRPr="001672E6" w:rsidRDefault="007E47DE" w:rsidP="001672E6">
      <w:pPr>
        <w:pStyle w:val="ListParagraph"/>
        <w:numPr>
          <w:ilvl w:val="0"/>
          <w:numId w:val="12"/>
        </w:numPr>
        <w:rPr>
          <w:rFonts w:cstheme="minorHAnsi"/>
          <w:lang w:val="en-US"/>
        </w:rPr>
      </w:pPr>
      <w:r w:rsidRPr="001672E6">
        <w:rPr>
          <w:rFonts w:cstheme="minorHAnsi"/>
          <w:lang w:val="en-US"/>
        </w:rPr>
        <w:t xml:space="preserve">An update on the changes to our key </w:t>
      </w:r>
      <w:r w:rsidR="0031092A" w:rsidRPr="001672E6">
        <w:rPr>
          <w:rFonts w:cstheme="minorHAnsi"/>
          <w:lang w:val="en-US"/>
        </w:rPr>
        <w:t xml:space="preserve">contracts and </w:t>
      </w:r>
      <w:r w:rsidRPr="001672E6">
        <w:rPr>
          <w:rFonts w:cstheme="minorHAnsi"/>
          <w:lang w:val="en-US"/>
        </w:rPr>
        <w:t>partnerships.</w:t>
      </w:r>
    </w:p>
    <w:p w14:paraId="1D891980" w14:textId="2F6E83C9" w:rsidR="007E47DE" w:rsidRPr="001672E6" w:rsidRDefault="007E47DE" w:rsidP="001672E6">
      <w:pPr>
        <w:rPr>
          <w:rFonts w:cstheme="minorHAnsi"/>
          <w:lang w:val="en-US"/>
        </w:rPr>
      </w:pPr>
      <w:r w:rsidRPr="001672E6">
        <w:rPr>
          <w:rFonts w:cstheme="minorHAnsi"/>
          <w:lang w:val="en-US"/>
        </w:rPr>
        <w:t xml:space="preserve">This formal monitoring should supplement ongoing contract management and monitoring at a service level through operational meetings, board meetings and updates to executive members as general good practice. </w:t>
      </w:r>
    </w:p>
    <w:p w14:paraId="3DC286DE" w14:textId="5160FC9E" w:rsidR="00467EE7" w:rsidRDefault="00467EE7" w:rsidP="001672E6">
      <w:pPr>
        <w:rPr>
          <w:rFonts w:asciiTheme="majorHAnsi" w:hAnsiTheme="majorHAnsi" w:cstheme="majorHAnsi"/>
          <w:b/>
          <w:bCs/>
          <w:color w:val="147FA8"/>
          <w:lang w:val="en-US"/>
        </w:rPr>
      </w:pPr>
      <w:r>
        <w:rPr>
          <w:rFonts w:asciiTheme="majorHAnsi" w:hAnsiTheme="majorHAnsi" w:cstheme="majorHAnsi"/>
          <w:b/>
          <w:bCs/>
          <w:color w:val="147FA8"/>
          <w:lang w:val="en-US"/>
        </w:rPr>
        <w:t>Responsible officer role</w:t>
      </w:r>
    </w:p>
    <w:p w14:paraId="74974A73" w14:textId="30276851" w:rsidR="00467EE7" w:rsidRDefault="00467EE7" w:rsidP="00167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responsible officer </w:t>
      </w:r>
      <w:r w:rsidR="001672E6">
        <w:rPr>
          <w:rFonts w:ascii="Arial" w:hAnsi="Arial" w:cs="Arial"/>
        </w:rPr>
        <w:t xml:space="preserve">for each contract or partnership </w:t>
      </w:r>
      <w:r>
        <w:rPr>
          <w:rFonts w:ascii="Arial" w:hAnsi="Arial" w:cs="Arial"/>
        </w:rPr>
        <w:t>must adhere to this framework</w:t>
      </w:r>
      <w:r w:rsidR="00425767">
        <w:rPr>
          <w:rFonts w:ascii="Arial" w:hAnsi="Arial" w:cs="Arial"/>
        </w:rPr>
        <w:t>. T</w:t>
      </w:r>
      <w:r>
        <w:rPr>
          <w:rFonts w:ascii="Arial" w:hAnsi="Arial" w:cs="Arial"/>
        </w:rPr>
        <w:t>he role includes the following:</w:t>
      </w:r>
    </w:p>
    <w:p w14:paraId="2ABDCA86" w14:textId="77777777" w:rsidR="00467EE7" w:rsidRDefault="00467EE7" w:rsidP="00167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199FB1" w14:textId="20660E69" w:rsidR="00467EE7" w:rsidRPr="00467EE7" w:rsidRDefault="00467EE7" w:rsidP="001672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EE7">
        <w:rPr>
          <w:rFonts w:ascii="Arial" w:hAnsi="Arial" w:cs="Arial"/>
        </w:rPr>
        <w:t xml:space="preserve">Establishing </w:t>
      </w:r>
      <w:r>
        <w:rPr>
          <w:rFonts w:ascii="Arial" w:hAnsi="Arial" w:cs="Arial"/>
        </w:rPr>
        <w:t xml:space="preserve">an agreement </w:t>
      </w:r>
      <w:r w:rsidRPr="00467EE7">
        <w:rPr>
          <w:rFonts w:ascii="Arial" w:hAnsi="Arial" w:cs="Arial"/>
        </w:rPr>
        <w:t>covering the governance arrangements of the</w:t>
      </w:r>
      <w:r>
        <w:rPr>
          <w:rFonts w:ascii="Arial" w:hAnsi="Arial" w:cs="Arial"/>
        </w:rPr>
        <w:t xml:space="preserve"> contract or</w:t>
      </w:r>
      <w:r w:rsidRPr="00467EE7">
        <w:rPr>
          <w:rFonts w:ascii="Arial" w:hAnsi="Arial" w:cs="Arial"/>
        </w:rPr>
        <w:t xml:space="preserve"> partnership on approval of a new </w:t>
      </w:r>
      <w:r>
        <w:rPr>
          <w:rFonts w:ascii="Arial" w:hAnsi="Arial" w:cs="Arial"/>
        </w:rPr>
        <w:t>contract or partnership.</w:t>
      </w:r>
    </w:p>
    <w:p w14:paraId="63D4681E" w14:textId="28244FE4" w:rsidR="00467EE7" w:rsidRPr="00467EE7" w:rsidRDefault="00467EE7" w:rsidP="001672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EE7">
        <w:rPr>
          <w:rFonts w:ascii="Arial" w:hAnsi="Arial" w:cs="Arial"/>
        </w:rPr>
        <w:t xml:space="preserve">Reporting any proposal to </w:t>
      </w:r>
      <w:proofErr w:type="gramStart"/>
      <w:r w:rsidRPr="00467EE7">
        <w:rPr>
          <w:rFonts w:ascii="Arial" w:hAnsi="Arial" w:cs="Arial"/>
        </w:rPr>
        <w:t>enter into</w:t>
      </w:r>
      <w:proofErr w:type="gramEnd"/>
      <w:r w:rsidRPr="00467EE7">
        <w:rPr>
          <w:rFonts w:ascii="Arial" w:hAnsi="Arial" w:cs="Arial"/>
        </w:rPr>
        <w:t xml:space="preserve"> a new key partnering arrangement to Cabinet, incorporating all of the points identified in the ‘establishing a new key</w:t>
      </w:r>
      <w:r>
        <w:rPr>
          <w:rFonts w:ascii="Arial" w:hAnsi="Arial" w:cs="Arial"/>
        </w:rPr>
        <w:t xml:space="preserve"> contract or</w:t>
      </w:r>
      <w:r w:rsidRPr="00467EE7">
        <w:rPr>
          <w:rFonts w:ascii="Arial" w:hAnsi="Arial" w:cs="Arial"/>
        </w:rPr>
        <w:t xml:space="preserve"> partnership’ section of this framework.</w:t>
      </w:r>
    </w:p>
    <w:p w14:paraId="2D4A0268" w14:textId="70138749" w:rsidR="00467EE7" w:rsidRDefault="00467EE7" w:rsidP="001672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EE7">
        <w:rPr>
          <w:rFonts w:ascii="Arial" w:hAnsi="Arial" w:cs="Arial"/>
        </w:rPr>
        <w:t xml:space="preserve">Ensure effective and regular monitoring arrangements are in place, as per the monitoring and review arrangements for key </w:t>
      </w:r>
      <w:r>
        <w:rPr>
          <w:rFonts w:ascii="Arial" w:hAnsi="Arial" w:cs="Arial"/>
        </w:rPr>
        <w:t xml:space="preserve">contract or </w:t>
      </w:r>
      <w:r w:rsidRPr="00467EE7">
        <w:rPr>
          <w:rFonts w:ascii="Arial" w:hAnsi="Arial" w:cs="Arial"/>
        </w:rPr>
        <w:t>partnership section within this framework.</w:t>
      </w:r>
    </w:p>
    <w:p w14:paraId="271E488B" w14:textId="5946CEC7" w:rsidR="00467EE7" w:rsidRDefault="00467EE7" w:rsidP="001672E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77826F" w14:textId="5FD3A381" w:rsidR="000C325D" w:rsidRDefault="000C325D" w:rsidP="001672E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347B21" w14:textId="59649713" w:rsidR="000C325D" w:rsidRDefault="000C325D" w:rsidP="001672E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0497F0" w14:textId="77777777" w:rsidR="000C325D" w:rsidRPr="00467EE7" w:rsidRDefault="000C325D" w:rsidP="001672E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A40FEE" w14:textId="5F99E098" w:rsidR="007E47DE" w:rsidRPr="001B6A2F" w:rsidRDefault="007E47DE" w:rsidP="001672E6">
      <w:pPr>
        <w:rPr>
          <w:rFonts w:asciiTheme="majorHAnsi" w:hAnsiTheme="majorHAnsi" w:cstheme="majorHAnsi"/>
          <w:b/>
          <w:bCs/>
          <w:color w:val="147FA8"/>
          <w:sz w:val="28"/>
          <w:szCs w:val="28"/>
          <w:lang w:val="en-US"/>
        </w:rPr>
      </w:pPr>
      <w:r w:rsidRPr="001B6A2F">
        <w:rPr>
          <w:rFonts w:asciiTheme="majorHAnsi" w:hAnsiTheme="majorHAnsi" w:cstheme="majorHAnsi"/>
          <w:b/>
          <w:bCs/>
          <w:color w:val="147FA8"/>
          <w:sz w:val="28"/>
          <w:szCs w:val="28"/>
          <w:lang w:val="en-US"/>
        </w:rPr>
        <w:lastRenderedPageBreak/>
        <w:t xml:space="preserve">Adding new contracts and partnerships </w:t>
      </w:r>
    </w:p>
    <w:p w14:paraId="6305C6C0" w14:textId="50F74FE1" w:rsidR="007E47DE" w:rsidRPr="00B66D39" w:rsidRDefault="007E47DE" w:rsidP="001672E6">
      <w:pPr>
        <w:rPr>
          <w:rFonts w:asciiTheme="majorHAnsi" w:hAnsiTheme="majorHAnsi" w:cstheme="majorHAnsi"/>
          <w:lang w:val="en-US"/>
        </w:rPr>
      </w:pPr>
      <w:r w:rsidRPr="00B66D39">
        <w:rPr>
          <w:rFonts w:asciiTheme="majorHAnsi" w:hAnsiTheme="majorHAnsi" w:cstheme="majorHAnsi"/>
          <w:lang w:val="en-US"/>
        </w:rPr>
        <w:t xml:space="preserve">During procurement of any new services </w:t>
      </w:r>
      <w:r w:rsidR="001672E6">
        <w:rPr>
          <w:rFonts w:asciiTheme="majorHAnsi" w:hAnsiTheme="majorHAnsi" w:cstheme="majorHAnsi"/>
          <w:lang w:val="en-US"/>
        </w:rPr>
        <w:t>or</w:t>
      </w:r>
      <w:r w:rsidRPr="00B66D39">
        <w:rPr>
          <w:rFonts w:asciiTheme="majorHAnsi" w:hAnsiTheme="majorHAnsi" w:cstheme="majorHAnsi"/>
          <w:lang w:val="en-US"/>
        </w:rPr>
        <w:t xml:space="preserve"> contracts and establishing a partnership, it should be considered by the </w:t>
      </w:r>
      <w:r w:rsidR="00EC3692">
        <w:rPr>
          <w:rFonts w:asciiTheme="majorHAnsi" w:hAnsiTheme="majorHAnsi" w:cstheme="majorHAnsi"/>
          <w:lang w:val="en-US"/>
        </w:rPr>
        <w:t>responsible officer</w:t>
      </w:r>
      <w:r w:rsidRPr="00B66D39">
        <w:rPr>
          <w:rFonts w:asciiTheme="majorHAnsi" w:hAnsiTheme="majorHAnsi" w:cstheme="majorHAnsi"/>
          <w:lang w:val="en-US"/>
        </w:rPr>
        <w:t xml:space="preserve"> if the contract or partnership falls under the remit of a key partnership. They should refer </w:t>
      </w:r>
      <w:r w:rsidR="0030389A">
        <w:rPr>
          <w:rFonts w:asciiTheme="majorHAnsi" w:hAnsiTheme="majorHAnsi" w:cstheme="majorHAnsi"/>
          <w:lang w:val="en-US"/>
        </w:rPr>
        <w:t>to this framework</w:t>
      </w:r>
      <w:r w:rsidRPr="00B66D39">
        <w:rPr>
          <w:rFonts w:asciiTheme="majorHAnsi" w:hAnsiTheme="majorHAnsi" w:cstheme="majorHAnsi"/>
          <w:lang w:val="en-US"/>
        </w:rPr>
        <w:t xml:space="preserve"> and </w:t>
      </w:r>
      <w:r w:rsidR="0030389A">
        <w:rPr>
          <w:rFonts w:asciiTheme="majorHAnsi" w:hAnsiTheme="majorHAnsi" w:cstheme="majorHAnsi"/>
          <w:lang w:val="en-US"/>
        </w:rPr>
        <w:t xml:space="preserve">the </w:t>
      </w:r>
      <w:r w:rsidRPr="00B66D39">
        <w:rPr>
          <w:rFonts w:asciiTheme="majorHAnsi" w:hAnsiTheme="majorHAnsi" w:cstheme="majorHAnsi"/>
          <w:lang w:val="en-US"/>
        </w:rPr>
        <w:t>Transformation and Partnerships</w:t>
      </w:r>
      <w:r w:rsidR="0030389A">
        <w:rPr>
          <w:rFonts w:asciiTheme="majorHAnsi" w:hAnsiTheme="majorHAnsi" w:cstheme="majorHAnsi"/>
          <w:lang w:val="en-US"/>
        </w:rPr>
        <w:t xml:space="preserve"> service</w:t>
      </w:r>
      <w:r w:rsidRPr="00B66D39">
        <w:rPr>
          <w:rFonts w:asciiTheme="majorHAnsi" w:hAnsiTheme="majorHAnsi" w:cstheme="majorHAnsi"/>
          <w:lang w:val="en-US"/>
        </w:rPr>
        <w:t xml:space="preserve"> for advice at this point. </w:t>
      </w:r>
    </w:p>
    <w:p w14:paraId="66783A4B" w14:textId="035D1466" w:rsidR="007E47DE" w:rsidRPr="00B66D39" w:rsidRDefault="007E47DE" w:rsidP="00472069">
      <w:pPr>
        <w:rPr>
          <w:rFonts w:asciiTheme="majorHAnsi" w:hAnsiTheme="majorHAnsi" w:cstheme="majorHAnsi"/>
          <w:lang w:val="en-US"/>
        </w:rPr>
      </w:pPr>
      <w:r w:rsidRPr="00B66D39">
        <w:rPr>
          <w:rFonts w:asciiTheme="majorHAnsi" w:hAnsiTheme="majorHAnsi" w:cstheme="majorHAnsi"/>
          <w:lang w:val="en-US"/>
        </w:rPr>
        <w:t xml:space="preserve">If it is agreed that it does fall under the remit, any proposal to </w:t>
      </w:r>
      <w:proofErr w:type="gramStart"/>
      <w:r w:rsidRPr="00B66D39">
        <w:rPr>
          <w:rFonts w:asciiTheme="majorHAnsi" w:hAnsiTheme="majorHAnsi" w:cstheme="majorHAnsi"/>
          <w:lang w:val="en-US"/>
        </w:rPr>
        <w:t>enter into</w:t>
      </w:r>
      <w:proofErr w:type="gramEnd"/>
      <w:r w:rsidRPr="00B66D39">
        <w:rPr>
          <w:rFonts w:asciiTheme="majorHAnsi" w:hAnsiTheme="majorHAnsi" w:cstheme="majorHAnsi"/>
          <w:lang w:val="en-US"/>
        </w:rPr>
        <w:t xml:space="preserve"> a new key contract or partnership </w:t>
      </w:r>
      <w:r w:rsidR="00155A94">
        <w:rPr>
          <w:rFonts w:asciiTheme="majorHAnsi" w:hAnsiTheme="majorHAnsi" w:cstheme="majorHAnsi"/>
          <w:lang w:val="en-US"/>
        </w:rPr>
        <w:t>should</w:t>
      </w:r>
      <w:r w:rsidRPr="00B66D39">
        <w:rPr>
          <w:rFonts w:asciiTheme="majorHAnsi" w:hAnsiTheme="majorHAnsi" w:cstheme="majorHAnsi"/>
          <w:lang w:val="en-US"/>
        </w:rPr>
        <w:t xml:space="preserve"> be brought through with the annual update to Cabinet and should demonstrate the following:</w:t>
      </w:r>
    </w:p>
    <w:p w14:paraId="2D613A18" w14:textId="333204BD" w:rsidR="007E47DE" w:rsidRPr="00B66D39" w:rsidRDefault="007E47DE" w:rsidP="00472069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lang w:val="en-US"/>
        </w:rPr>
      </w:pPr>
      <w:r w:rsidRPr="00B66D39">
        <w:rPr>
          <w:rFonts w:asciiTheme="majorHAnsi" w:hAnsiTheme="majorHAnsi" w:cstheme="majorHAnsi"/>
          <w:lang w:val="en-US"/>
        </w:rPr>
        <w:t>The partnership</w:t>
      </w:r>
      <w:r w:rsidR="007D4D77">
        <w:rPr>
          <w:rFonts w:asciiTheme="majorHAnsi" w:hAnsiTheme="majorHAnsi" w:cstheme="majorHAnsi"/>
          <w:lang w:val="en-US"/>
        </w:rPr>
        <w:t>s</w:t>
      </w:r>
      <w:r w:rsidRPr="00B66D39">
        <w:rPr>
          <w:rFonts w:asciiTheme="majorHAnsi" w:hAnsiTheme="majorHAnsi" w:cstheme="majorHAnsi"/>
          <w:lang w:val="en-US"/>
        </w:rPr>
        <w:t xml:space="preserve"> impact on the </w:t>
      </w:r>
      <w:r w:rsidR="000630CB">
        <w:rPr>
          <w:rFonts w:asciiTheme="majorHAnsi" w:hAnsiTheme="majorHAnsi" w:cstheme="majorHAnsi"/>
          <w:lang w:val="en-US"/>
        </w:rPr>
        <w:t>Council</w:t>
      </w:r>
      <w:r w:rsidRPr="00B66D39">
        <w:rPr>
          <w:rFonts w:asciiTheme="majorHAnsi" w:hAnsiTheme="majorHAnsi" w:cstheme="majorHAnsi"/>
          <w:lang w:val="en-US"/>
        </w:rPr>
        <w:t>’s priorities</w:t>
      </w:r>
    </w:p>
    <w:p w14:paraId="05FE8550" w14:textId="780C61E6" w:rsidR="007E47DE" w:rsidRPr="00B66D39" w:rsidRDefault="007E47DE" w:rsidP="00472069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lang w:val="en-US"/>
        </w:rPr>
      </w:pPr>
      <w:r w:rsidRPr="00B66D39">
        <w:rPr>
          <w:rFonts w:asciiTheme="majorHAnsi" w:hAnsiTheme="majorHAnsi" w:cstheme="majorHAnsi"/>
          <w:lang w:val="en-US"/>
        </w:rPr>
        <w:t xml:space="preserve">Consideration of the </w:t>
      </w:r>
      <w:r w:rsidR="000630CB">
        <w:rPr>
          <w:rFonts w:asciiTheme="majorHAnsi" w:hAnsiTheme="majorHAnsi" w:cstheme="majorHAnsi"/>
          <w:lang w:val="en-US"/>
        </w:rPr>
        <w:t>Council</w:t>
      </w:r>
      <w:r w:rsidRPr="00B66D39">
        <w:rPr>
          <w:rFonts w:asciiTheme="majorHAnsi" w:hAnsiTheme="majorHAnsi" w:cstheme="majorHAnsi"/>
          <w:lang w:val="en-US"/>
        </w:rPr>
        <w:t>’s exposure to risk and the potential liabilities including financial risk</w:t>
      </w:r>
    </w:p>
    <w:p w14:paraId="104CF255" w14:textId="4E537CF8" w:rsidR="007E47DE" w:rsidRPr="00B66D39" w:rsidRDefault="007E47DE" w:rsidP="00472069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lang w:val="en-US"/>
        </w:rPr>
      </w:pPr>
      <w:r w:rsidRPr="00B66D39">
        <w:rPr>
          <w:rFonts w:asciiTheme="majorHAnsi" w:hAnsiTheme="majorHAnsi" w:cstheme="majorHAnsi"/>
          <w:lang w:val="en-US"/>
        </w:rPr>
        <w:t>Any insurable risks and clarify responsibility and ownership</w:t>
      </w:r>
    </w:p>
    <w:p w14:paraId="72F9570E" w14:textId="3AC05570" w:rsidR="007E47DE" w:rsidRPr="00B66D39" w:rsidRDefault="007E47DE" w:rsidP="00472069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lang w:val="en-US"/>
        </w:rPr>
      </w:pPr>
      <w:r w:rsidRPr="00B66D39">
        <w:rPr>
          <w:rFonts w:asciiTheme="majorHAnsi" w:hAnsiTheme="majorHAnsi" w:cstheme="majorHAnsi"/>
          <w:lang w:val="en-US"/>
        </w:rPr>
        <w:t>Governance and risk management arrangements, including terms of reference for the partnership</w:t>
      </w:r>
    </w:p>
    <w:p w14:paraId="39D9500C" w14:textId="0544DB51" w:rsidR="001B6A2F" w:rsidRPr="001B6A2F" w:rsidRDefault="00425767" w:rsidP="00472069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That partnerships </w:t>
      </w:r>
      <w:r w:rsidR="007E47DE" w:rsidRPr="00B66D39">
        <w:rPr>
          <w:rFonts w:asciiTheme="majorHAnsi" w:hAnsiTheme="majorHAnsi" w:cstheme="majorHAnsi"/>
          <w:lang w:val="en-US"/>
        </w:rPr>
        <w:t>are fit for purpose, demonstrate value for money and have added value.</w:t>
      </w:r>
    </w:p>
    <w:p w14:paraId="0B1AEDEF" w14:textId="7F9BE5E0" w:rsidR="001B6A2F" w:rsidRPr="001B6A2F" w:rsidRDefault="001B6A2F" w:rsidP="00472069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color w:val="147FA8"/>
          <w:lang w:val="en-US"/>
        </w:rPr>
        <w:t>Governance</w:t>
      </w:r>
    </w:p>
    <w:p w14:paraId="0B097FB1" w14:textId="158B9E2B" w:rsidR="007E47DE" w:rsidRPr="006840C0" w:rsidRDefault="007E47DE" w:rsidP="00472069">
      <w:pPr>
        <w:rPr>
          <w:rFonts w:asciiTheme="majorHAnsi" w:hAnsiTheme="majorHAnsi" w:cstheme="majorHAnsi"/>
          <w:lang w:val="en-US"/>
        </w:rPr>
      </w:pPr>
      <w:r w:rsidRPr="006840C0">
        <w:rPr>
          <w:rFonts w:asciiTheme="majorHAnsi" w:hAnsiTheme="majorHAnsi" w:cstheme="majorHAnsi"/>
          <w:lang w:val="en-US"/>
        </w:rPr>
        <w:t>Following approval to establish a new key contract or partnership, control measures and governance arrangements should be set out in an agreement or contract. This should cover:</w:t>
      </w:r>
    </w:p>
    <w:p w14:paraId="06744F85" w14:textId="26D87E1A" w:rsidR="007E47DE" w:rsidRPr="00B66D39" w:rsidRDefault="007E47DE" w:rsidP="00472069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lang w:val="en-US"/>
        </w:rPr>
      </w:pPr>
      <w:r w:rsidRPr="006840C0">
        <w:rPr>
          <w:rFonts w:asciiTheme="majorHAnsi" w:hAnsiTheme="majorHAnsi" w:cstheme="majorHAnsi"/>
          <w:b/>
          <w:bCs/>
          <w:lang w:val="en-US"/>
        </w:rPr>
        <w:t>Aims and objectives</w:t>
      </w:r>
      <w:r w:rsidR="006840C0">
        <w:rPr>
          <w:rFonts w:asciiTheme="majorHAnsi" w:hAnsiTheme="majorHAnsi" w:cstheme="majorHAnsi"/>
          <w:lang w:val="en-US"/>
        </w:rPr>
        <w:t xml:space="preserve">; there should be a common vision and agreed objectives that are aligned with the </w:t>
      </w:r>
      <w:r w:rsidR="000630CB">
        <w:rPr>
          <w:rFonts w:asciiTheme="majorHAnsi" w:hAnsiTheme="majorHAnsi" w:cstheme="majorHAnsi"/>
          <w:lang w:val="en-US"/>
        </w:rPr>
        <w:t>Council</w:t>
      </w:r>
      <w:r w:rsidR="006840C0">
        <w:rPr>
          <w:rFonts w:asciiTheme="majorHAnsi" w:hAnsiTheme="majorHAnsi" w:cstheme="majorHAnsi"/>
          <w:lang w:val="en-US"/>
        </w:rPr>
        <w:t xml:space="preserve">’s strategic objectives. </w:t>
      </w:r>
    </w:p>
    <w:p w14:paraId="371B46DB" w14:textId="40073B8B" w:rsidR="007E47DE" w:rsidRPr="006840C0" w:rsidRDefault="007E47DE" w:rsidP="00472069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lang w:val="en-US"/>
        </w:rPr>
      </w:pPr>
      <w:r w:rsidRPr="006840C0">
        <w:rPr>
          <w:rFonts w:asciiTheme="majorHAnsi" w:hAnsiTheme="majorHAnsi" w:cstheme="majorHAnsi"/>
          <w:b/>
          <w:bCs/>
          <w:lang w:val="en-US"/>
        </w:rPr>
        <w:t>Roles and responsibilities</w:t>
      </w:r>
      <w:r w:rsidR="006840C0">
        <w:rPr>
          <w:rFonts w:asciiTheme="majorHAnsi" w:hAnsiTheme="majorHAnsi" w:cstheme="majorHAnsi"/>
          <w:lang w:val="en-US"/>
        </w:rPr>
        <w:t xml:space="preserve">; there needs to be clear </w:t>
      </w:r>
      <w:r w:rsidR="006840C0" w:rsidRPr="006840C0">
        <w:rPr>
          <w:rFonts w:asciiTheme="majorHAnsi" w:hAnsiTheme="majorHAnsi" w:cstheme="majorHAnsi"/>
          <w:lang w:val="en-US"/>
        </w:rPr>
        <w:t xml:space="preserve">roles and responsibilities of the </w:t>
      </w:r>
      <w:r w:rsidR="000630CB">
        <w:rPr>
          <w:rFonts w:asciiTheme="majorHAnsi" w:hAnsiTheme="majorHAnsi" w:cstheme="majorHAnsi"/>
          <w:lang w:val="en-US"/>
        </w:rPr>
        <w:t>Council</w:t>
      </w:r>
      <w:r w:rsidR="006840C0" w:rsidRPr="006840C0">
        <w:rPr>
          <w:rFonts w:asciiTheme="majorHAnsi" w:hAnsiTheme="majorHAnsi" w:cstheme="majorHAnsi"/>
          <w:lang w:val="en-US"/>
        </w:rPr>
        <w:t xml:space="preserve"> and the key partners which should</w:t>
      </w:r>
      <w:r w:rsidR="006840C0">
        <w:rPr>
          <w:rFonts w:asciiTheme="majorHAnsi" w:hAnsiTheme="majorHAnsi" w:cstheme="majorHAnsi"/>
          <w:lang w:val="en-US"/>
        </w:rPr>
        <w:t xml:space="preserve"> </w:t>
      </w:r>
      <w:r w:rsidR="006840C0" w:rsidRPr="006840C0">
        <w:rPr>
          <w:rFonts w:asciiTheme="majorHAnsi" w:hAnsiTheme="majorHAnsi" w:cstheme="majorHAnsi"/>
          <w:lang w:val="en-US"/>
        </w:rPr>
        <w:t xml:space="preserve">be supported by clear reporting lines and a </w:t>
      </w:r>
      <w:r w:rsidR="00F35C4C" w:rsidRPr="006840C0">
        <w:rPr>
          <w:rFonts w:asciiTheme="majorHAnsi" w:hAnsiTheme="majorHAnsi" w:cstheme="majorHAnsi"/>
          <w:lang w:val="en-US"/>
        </w:rPr>
        <w:t>decision-making</w:t>
      </w:r>
      <w:r w:rsidR="006840C0" w:rsidRPr="006840C0">
        <w:rPr>
          <w:rFonts w:asciiTheme="majorHAnsi" w:hAnsiTheme="majorHAnsi" w:cstheme="majorHAnsi"/>
          <w:lang w:val="en-US"/>
        </w:rPr>
        <w:t xml:space="preserve"> framework</w:t>
      </w:r>
      <w:r w:rsidR="006840C0">
        <w:rPr>
          <w:rFonts w:asciiTheme="majorHAnsi" w:hAnsiTheme="majorHAnsi" w:cstheme="majorHAnsi"/>
          <w:lang w:val="en-US"/>
        </w:rPr>
        <w:t>.</w:t>
      </w:r>
      <w:r w:rsidRPr="006840C0">
        <w:rPr>
          <w:rFonts w:asciiTheme="majorHAnsi" w:hAnsiTheme="majorHAnsi" w:cstheme="majorHAnsi"/>
          <w:b/>
          <w:bCs/>
          <w:lang w:val="en-US"/>
        </w:rPr>
        <w:t xml:space="preserve"> </w:t>
      </w:r>
    </w:p>
    <w:p w14:paraId="2C7A1979" w14:textId="148C1EC4" w:rsidR="007E47DE" w:rsidRPr="006840C0" w:rsidRDefault="007E47DE" w:rsidP="00472069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lang w:val="en-US"/>
        </w:rPr>
      </w:pPr>
      <w:r w:rsidRPr="006840C0">
        <w:rPr>
          <w:rFonts w:asciiTheme="majorHAnsi" w:hAnsiTheme="majorHAnsi" w:cstheme="majorHAnsi"/>
          <w:b/>
          <w:bCs/>
          <w:lang w:val="en-US"/>
        </w:rPr>
        <w:t>Decision making procedures</w:t>
      </w:r>
      <w:r w:rsidR="006840C0">
        <w:rPr>
          <w:rFonts w:asciiTheme="majorHAnsi" w:hAnsiTheme="majorHAnsi" w:cstheme="majorHAnsi"/>
          <w:lang w:val="en-US"/>
        </w:rPr>
        <w:t xml:space="preserve">; there needs to be some alignment between the </w:t>
      </w:r>
      <w:r w:rsidR="000630CB">
        <w:rPr>
          <w:rFonts w:asciiTheme="majorHAnsi" w:hAnsiTheme="majorHAnsi" w:cstheme="majorHAnsi"/>
          <w:lang w:val="en-US"/>
        </w:rPr>
        <w:t>Council</w:t>
      </w:r>
      <w:r w:rsidR="006840C0">
        <w:rPr>
          <w:rFonts w:asciiTheme="majorHAnsi" w:hAnsiTheme="majorHAnsi" w:cstheme="majorHAnsi"/>
          <w:lang w:val="en-US"/>
        </w:rPr>
        <w:t xml:space="preserve">’s </w:t>
      </w:r>
      <w:r w:rsidR="00F35C4C">
        <w:rPr>
          <w:rFonts w:asciiTheme="majorHAnsi" w:hAnsiTheme="majorHAnsi" w:cstheme="majorHAnsi"/>
          <w:lang w:val="en-US"/>
        </w:rPr>
        <w:t>decision-making</w:t>
      </w:r>
      <w:r w:rsidR="006840C0">
        <w:rPr>
          <w:rFonts w:asciiTheme="majorHAnsi" w:hAnsiTheme="majorHAnsi" w:cstheme="majorHAnsi"/>
          <w:lang w:val="en-US"/>
        </w:rPr>
        <w:t xml:space="preserve"> processes and timetables with the partners. </w:t>
      </w:r>
      <w:r w:rsidR="00F35C4C">
        <w:rPr>
          <w:rFonts w:asciiTheme="majorHAnsi" w:hAnsiTheme="majorHAnsi" w:cstheme="majorHAnsi"/>
          <w:lang w:val="en-US"/>
        </w:rPr>
        <w:t xml:space="preserve">This enables </w:t>
      </w:r>
      <w:r w:rsidR="00F35C4C" w:rsidRPr="006840C0">
        <w:rPr>
          <w:rFonts w:asciiTheme="majorHAnsi" w:hAnsiTheme="majorHAnsi" w:cstheme="majorHAnsi"/>
          <w:lang w:val="en-US"/>
        </w:rPr>
        <w:t>decisions with significant policy or financial implications</w:t>
      </w:r>
      <w:r w:rsidR="00F35C4C">
        <w:rPr>
          <w:rFonts w:asciiTheme="majorHAnsi" w:hAnsiTheme="majorHAnsi" w:cstheme="majorHAnsi"/>
          <w:lang w:val="en-US"/>
        </w:rPr>
        <w:t xml:space="preserve"> to be planned carefully and executed effectively. K</w:t>
      </w:r>
      <w:r w:rsidR="006840C0" w:rsidRPr="00F35C4C">
        <w:rPr>
          <w:rFonts w:asciiTheme="majorHAnsi" w:hAnsiTheme="majorHAnsi" w:cstheme="majorHAnsi"/>
          <w:lang w:val="en-US"/>
        </w:rPr>
        <w:t xml:space="preserve">ey </w:t>
      </w:r>
      <w:r w:rsidR="00F35C4C">
        <w:rPr>
          <w:rFonts w:asciiTheme="majorHAnsi" w:hAnsiTheme="majorHAnsi" w:cstheme="majorHAnsi"/>
          <w:lang w:val="en-US"/>
        </w:rPr>
        <w:t xml:space="preserve">contract or </w:t>
      </w:r>
      <w:r w:rsidR="006840C0" w:rsidRPr="00F35C4C">
        <w:rPr>
          <w:rFonts w:asciiTheme="majorHAnsi" w:hAnsiTheme="majorHAnsi" w:cstheme="majorHAnsi"/>
          <w:lang w:val="en-US"/>
        </w:rPr>
        <w:t xml:space="preserve">partnership representatives should have sufficient authority to commit their organisations to a </w:t>
      </w:r>
      <w:proofErr w:type="gramStart"/>
      <w:r w:rsidR="006840C0" w:rsidRPr="00F35C4C">
        <w:rPr>
          <w:rFonts w:asciiTheme="majorHAnsi" w:hAnsiTheme="majorHAnsi" w:cstheme="majorHAnsi"/>
          <w:lang w:val="en-US"/>
        </w:rPr>
        <w:t>particular</w:t>
      </w:r>
      <w:r w:rsidR="00F35C4C">
        <w:rPr>
          <w:rFonts w:asciiTheme="majorHAnsi" w:hAnsiTheme="majorHAnsi" w:cstheme="majorHAnsi"/>
          <w:lang w:val="en-US"/>
        </w:rPr>
        <w:t xml:space="preserve"> </w:t>
      </w:r>
      <w:r w:rsidR="006840C0" w:rsidRPr="00F35C4C">
        <w:rPr>
          <w:rFonts w:asciiTheme="majorHAnsi" w:hAnsiTheme="majorHAnsi" w:cstheme="majorHAnsi"/>
          <w:lang w:val="en-US"/>
        </w:rPr>
        <w:t>course</w:t>
      </w:r>
      <w:proofErr w:type="gramEnd"/>
      <w:r w:rsidR="006840C0" w:rsidRPr="00F35C4C">
        <w:rPr>
          <w:rFonts w:asciiTheme="majorHAnsi" w:hAnsiTheme="majorHAnsi" w:cstheme="majorHAnsi"/>
          <w:lang w:val="en-US"/>
        </w:rPr>
        <w:t xml:space="preserve"> of action. </w:t>
      </w:r>
    </w:p>
    <w:p w14:paraId="63300F98" w14:textId="3CA3AD7C" w:rsidR="007E47DE" w:rsidRPr="00F35C4C" w:rsidRDefault="001B381C" w:rsidP="00472069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lang w:val="en-US"/>
        </w:rPr>
        <w:t>Behavio</w:t>
      </w:r>
      <w:r w:rsidR="009C6B21">
        <w:rPr>
          <w:rFonts w:asciiTheme="majorHAnsi" w:hAnsiTheme="majorHAnsi" w:cstheme="majorHAnsi"/>
          <w:b/>
          <w:bCs/>
          <w:lang w:val="en-US"/>
        </w:rPr>
        <w:t>u</w:t>
      </w:r>
      <w:r>
        <w:rPr>
          <w:rFonts w:asciiTheme="majorHAnsi" w:hAnsiTheme="majorHAnsi" w:cstheme="majorHAnsi"/>
          <w:b/>
          <w:bCs/>
          <w:lang w:val="en-US"/>
        </w:rPr>
        <w:t>rs</w:t>
      </w:r>
      <w:r w:rsidR="00F35C4C">
        <w:rPr>
          <w:rFonts w:asciiTheme="majorHAnsi" w:hAnsiTheme="majorHAnsi" w:cstheme="majorHAnsi"/>
          <w:lang w:val="en-US"/>
        </w:rPr>
        <w:t xml:space="preserve">; </w:t>
      </w:r>
      <w:r w:rsidR="00F35C4C" w:rsidRPr="00F35C4C">
        <w:rPr>
          <w:rFonts w:asciiTheme="majorHAnsi" w:hAnsiTheme="majorHAnsi" w:cstheme="majorHAnsi"/>
          <w:lang w:val="en-US"/>
        </w:rPr>
        <w:t>we also expect partners to demonstrate high standards of honesty,</w:t>
      </w:r>
      <w:r w:rsidR="00F35C4C">
        <w:rPr>
          <w:rFonts w:asciiTheme="majorHAnsi" w:hAnsiTheme="majorHAnsi" w:cstheme="majorHAnsi"/>
          <w:lang w:val="en-US"/>
        </w:rPr>
        <w:t xml:space="preserve"> </w:t>
      </w:r>
      <w:r w:rsidR="00F35C4C" w:rsidRPr="00F35C4C">
        <w:rPr>
          <w:rFonts w:asciiTheme="majorHAnsi" w:hAnsiTheme="majorHAnsi" w:cstheme="majorHAnsi"/>
          <w:lang w:val="en-US"/>
        </w:rPr>
        <w:t>integrity, objectivity, openness, personal judgement, respect for others and a strong commitment to achieving</w:t>
      </w:r>
      <w:r w:rsidR="00F35C4C">
        <w:rPr>
          <w:rFonts w:asciiTheme="majorHAnsi" w:hAnsiTheme="majorHAnsi" w:cstheme="majorHAnsi"/>
          <w:lang w:val="en-US"/>
        </w:rPr>
        <w:t xml:space="preserve"> </w:t>
      </w:r>
      <w:r w:rsidR="00F35C4C" w:rsidRPr="00F35C4C">
        <w:rPr>
          <w:rFonts w:asciiTheme="majorHAnsi" w:hAnsiTheme="majorHAnsi" w:cstheme="majorHAnsi"/>
          <w:lang w:val="en-US"/>
        </w:rPr>
        <w:t xml:space="preserve">the goals and common vision of the partnership. </w:t>
      </w:r>
    </w:p>
    <w:p w14:paraId="45D335DA" w14:textId="5CB2A1A8" w:rsidR="007E47DE" w:rsidRPr="001B381C" w:rsidRDefault="007E47DE" w:rsidP="00472069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lang w:val="en-US"/>
        </w:rPr>
      </w:pPr>
      <w:r w:rsidRPr="006840C0">
        <w:rPr>
          <w:rFonts w:asciiTheme="majorHAnsi" w:hAnsiTheme="majorHAnsi" w:cstheme="majorHAnsi"/>
          <w:b/>
          <w:bCs/>
          <w:lang w:val="en-US"/>
        </w:rPr>
        <w:t>Risk management</w:t>
      </w:r>
      <w:r w:rsidR="001B381C">
        <w:rPr>
          <w:rFonts w:asciiTheme="majorHAnsi" w:hAnsiTheme="majorHAnsi" w:cstheme="majorHAnsi"/>
          <w:lang w:val="en-US"/>
        </w:rPr>
        <w:t>: g</w:t>
      </w:r>
      <w:r w:rsidR="001B381C" w:rsidRPr="001B381C">
        <w:rPr>
          <w:rFonts w:asciiTheme="majorHAnsi" w:hAnsiTheme="majorHAnsi" w:cstheme="majorHAnsi"/>
          <w:lang w:val="en-US"/>
        </w:rPr>
        <w:t>ood risk</w:t>
      </w:r>
      <w:r w:rsidR="001B381C">
        <w:rPr>
          <w:rFonts w:asciiTheme="majorHAnsi" w:hAnsiTheme="majorHAnsi" w:cstheme="majorHAnsi"/>
          <w:lang w:val="en-US"/>
        </w:rPr>
        <w:t xml:space="preserve"> </w:t>
      </w:r>
      <w:r w:rsidR="001B381C" w:rsidRPr="001B381C">
        <w:rPr>
          <w:rFonts w:asciiTheme="majorHAnsi" w:hAnsiTheme="majorHAnsi" w:cstheme="majorHAnsi"/>
          <w:lang w:val="en-US"/>
        </w:rPr>
        <w:t>management is key to delivering successful outcome</w:t>
      </w:r>
      <w:r w:rsidR="001B381C">
        <w:rPr>
          <w:rFonts w:asciiTheme="majorHAnsi" w:hAnsiTheme="majorHAnsi" w:cstheme="majorHAnsi"/>
          <w:lang w:val="en-US"/>
        </w:rPr>
        <w:t xml:space="preserve">s and </w:t>
      </w:r>
      <w:r w:rsidR="00574E3D">
        <w:rPr>
          <w:rFonts w:asciiTheme="majorHAnsi" w:hAnsiTheme="majorHAnsi" w:cstheme="majorHAnsi"/>
          <w:lang w:val="en-US"/>
        </w:rPr>
        <w:t xml:space="preserve">this should be captured in a joint risk register. </w:t>
      </w:r>
    </w:p>
    <w:p w14:paraId="52C5BACB" w14:textId="5D6AA67F" w:rsidR="007E47DE" w:rsidRPr="009C6B21" w:rsidRDefault="007E47DE" w:rsidP="00472069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lang w:val="en-US"/>
        </w:rPr>
      </w:pPr>
      <w:r w:rsidRPr="006840C0">
        <w:rPr>
          <w:rFonts w:asciiTheme="majorHAnsi" w:hAnsiTheme="majorHAnsi" w:cstheme="majorHAnsi"/>
          <w:b/>
          <w:bCs/>
          <w:lang w:val="en-US"/>
        </w:rPr>
        <w:t>Equality and diversity monitoring</w:t>
      </w:r>
      <w:r w:rsidR="00D11216">
        <w:rPr>
          <w:rFonts w:asciiTheme="majorHAnsi" w:hAnsiTheme="majorHAnsi" w:cstheme="majorHAnsi"/>
          <w:b/>
          <w:bCs/>
          <w:lang w:val="en-US"/>
        </w:rPr>
        <w:t xml:space="preserve"> (</w:t>
      </w:r>
      <w:proofErr w:type="gramStart"/>
      <w:r w:rsidR="00D11216">
        <w:rPr>
          <w:rFonts w:asciiTheme="majorHAnsi" w:hAnsiTheme="majorHAnsi" w:cstheme="majorHAnsi"/>
          <w:b/>
          <w:bCs/>
          <w:lang w:val="en-US"/>
        </w:rPr>
        <w:t>includes</w:t>
      </w:r>
      <w:proofErr w:type="gramEnd"/>
      <w:r w:rsidR="00D11216">
        <w:rPr>
          <w:rFonts w:asciiTheme="majorHAnsi" w:hAnsiTheme="majorHAnsi" w:cstheme="majorHAnsi"/>
          <w:b/>
          <w:bCs/>
          <w:lang w:val="en-US"/>
        </w:rPr>
        <w:t xml:space="preserve"> Integrated Impact Assessment)</w:t>
      </w:r>
      <w:r w:rsidR="00574E3D">
        <w:rPr>
          <w:rFonts w:asciiTheme="majorHAnsi" w:hAnsiTheme="majorHAnsi" w:cstheme="majorHAnsi"/>
          <w:lang w:val="en-US"/>
        </w:rPr>
        <w:t xml:space="preserve">; </w:t>
      </w:r>
      <w:r w:rsidR="00574E3D" w:rsidRPr="00574E3D">
        <w:rPr>
          <w:rFonts w:asciiTheme="majorHAnsi" w:hAnsiTheme="majorHAnsi" w:cstheme="majorHAnsi"/>
          <w:lang w:val="en-US"/>
        </w:rPr>
        <w:t xml:space="preserve">the </w:t>
      </w:r>
      <w:r w:rsidR="000630CB">
        <w:rPr>
          <w:rFonts w:asciiTheme="majorHAnsi" w:hAnsiTheme="majorHAnsi" w:cstheme="majorHAnsi"/>
          <w:lang w:val="en-US"/>
        </w:rPr>
        <w:t>Council</w:t>
      </w:r>
      <w:r w:rsidR="00574E3D" w:rsidRPr="00574E3D">
        <w:rPr>
          <w:rFonts w:asciiTheme="majorHAnsi" w:hAnsiTheme="majorHAnsi" w:cstheme="majorHAnsi"/>
          <w:lang w:val="en-US"/>
        </w:rPr>
        <w:t xml:space="preserve"> </w:t>
      </w:r>
      <w:r w:rsidR="00574E3D">
        <w:rPr>
          <w:rFonts w:asciiTheme="majorHAnsi" w:hAnsiTheme="majorHAnsi" w:cstheme="majorHAnsi"/>
          <w:lang w:val="en-US"/>
        </w:rPr>
        <w:t>wi</w:t>
      </w:r>
      <w:r w:rsidR="009C6B21">
        <w:rPr>
          <w:rFonts w:asciiTheme="majorHAnsi" w:hAnsiTheme="majorHAnsi" w:cstheme="majorHAnsi"/>
          <w:lang w:val="en-US"/>
        </w:rPr>
        <w:t>ll</w:t>
      </w:r>
      <w:r w:rsidR="00574E3D" w:rsidRPr="00574E3D">
        <w:rPr>
          <w:rFonts w:asciiTheme="majorHAnsi" w:hAnsiTheme="majorHAnsi" w:cstheme="majorHAnsi"/>
          <w:lang w:val="en-US"/>
        </w:rPr>
        <w:t xml:space="preserve"> work with partner organisations to promote </w:t>
      </w:r>
      <w:r w:rsidR="009C6B21">
        <w:rPr>
          <w:rFonts w:asciiTheme="majorHAnsi" w:hAnsiTheme="majorHAnsi" w:cstheme="majorHAnsi"/>
          <w:lang w:val="en-US"/>
        </w:rPr>
        <w:t>equality and diversit</w:t>
      </w:r>
      <w:r w:rsidR="00472069">
        <w:rPr>
          <w:rFonts w:asciiTheme="majorHAnsi" w:hAnsiTheme="majorHAnsi" w:cstheme="majorHAnsi"/>
          <w:lang w:val="en-US"/>
        </w:rPr>
        <w:t>y in line with the Council</w:t>
      </w:r>
      <w:r w:rsidR="003338C9">
        <w:rPr>
          <w:rFonts w:asciiTheme="majorHAnsi" w:hAnsiTheme="majorHAnsi" w:cstheme="majorHAnsi"/>
          <w:lang w:val="en-US"/>
        </w:rPr>
        <w:t>’</w:t>
      </w:r>
      <w:r w:rsidR="00472069">
        <w:rPr>
          <w:rFonts w:asciiTheme="majorHAnsi" w:hAnsiTheme="majorHAnsi" w:cstheme="majorHAnsi"/>
          <w:lang w:val="en-US"/>
        </w:rPr>
        <w:t>s procedures</w:t>
      </w:r>
      <w:r w:rsidR="009C6B21">
        <w:rPr>
          <w:rFonts w:asciiTheme="majorHAnsi" w:hAnsiTheme="majorHAnsi" w:cstheme="majorHAnsi"/>
          <w:lang w:val="en-US"/>
        </w:rPr>
        <w:t xml:space="preserve">. </w:t>
      </w:r>
      <w:r w:rsidR="00472069">
        <w:rPr>
          <w:rFonts w:asciiTheme="majorHAnsi" w:hAnsiTheme="majorHAnsi" w:cstheme="majorHAnsi"/>
          <w:lang w:val="en-US"/>
        </w:rPr>
        <w:t>T</w:t>
      </w:r>
      <w:r w:rsidR="00574E3D" w:rsidRPr="009C6B21">
        <w:rPr>
          <w:rFonts w:asciiTheme="majorHAnsi" w:hAnsiTheme="majorHAnsi" w:cstheme="majorHAnsi"/>
          <w:lang w:val="en-US"/>
        </w:rPr>
        <w:t xml:space="preserve">he agreement should include a statement on how the partnership will operate </w:t>
      </w:r>
      <w:proofErr w:type="gramStart"/>
      <w:r w:rsidR="00574E3D" w:rsidRPr="009C6B21">
        <w:rPr>
          <w:rFonts w:asciiTheme="majorHAnsi" w:hAnsiTheme="majorHAnsi" w:cstheme="majorHAnsi"/>
          <w:lang w:val="en-US"/>
        </w:rPr>
        <w:t>on the basis of</w:t>
      </w:r>
      <w:proofErr w:type="gramEnd"/>
      <w:r w:rsidR="009C6B21">
        <w:rPr>
          <w:rFonts w:asciiTheme="majorHAnsi" w:hAnsiTheme="majorHAnsi" w:cstheme="majorHAnsi"/>
          <w:lang w:val="en-US"/>
        </w:rPr>
        <w:t xml:space="preserve"> </w:t>
      </w:r>
      <w:r w:rsidR="00574E3D" w:rsidRPr="009C6B21">
        <w:rPr>
          <w:rFonts w:asciiTheme="majorHAnsi" w:hAnsiTheme="majorHAnsi" w:cstheme="majorHAnsi"/>
          <w:lang w:val="en-US"/>
        </w:rPr>
        <w:t>principles that actively value the benefits of diversity and ensure fair treatment and equality of opportunity.</w:t>
      </w:r>
      <w:r w:rsidRPr="009C6B21">
        <w:rPr>
          <w:rFonts w:asciiTheme="majorHAnsi" w:hAnsiTheme="majorHAnsi" w:cstheme="majorHAnsi"/>
          <w:b/>
          <w:bCs/>
          <w:lang w:val="en-US"/>
        </w:rPr>
        <w:t xml:space="preserve"> </w:t>
      </w:r>
    </w:p>
    <w:p w14:paraId="069BEC58" w14:textId="51468D11" w:rsidR="007E47DE" w:rsidRPr="00EB0149" w:rsidRDefault="007E47DE" w:rsidP="00472069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lang w:val="en-US"/>
        </w:rPr>
      </w:pPr>
      <w:r w:rsidRPr="006840C0">
        <w:rPr>
          <w:rFonts w:asciiTheme="majorHAnsi" w:hAnsiTheme="majorHAnsi" w:cstheme="majorHAnsi"/>
          <w:b/>
          <w:bCs/>
          <w:lang w:val="en-US"/>
        </w:rPr>
        <w:t>Anti-Fraud and corruption</w:t>
      </w:r>
      <w:r w:rsidR="00EB0149">
        <w:rPr>
          <w:rFonts w:asciiTheme="majorHAnsi" w:hAnsiTheme="majorHAnsi" w:cstheme="majorHAnsi"/>
          <w:lang w:val="en-US"/>
        </w:rPr>
        <w:t xml:space="preserve">; </w:t>
      </w:r>
      <w:r w:rsidR="00EB0149" w:rsidRPr="00EB0149">
        <w:rPr>
          <w:rFonts w:asciiTheme="majorHAnsi" w:hAnsiTheme="majorHAnsi" w:cstheme="majorHAnsi"/>
          <w:lang w:val="en-US"/>
        </w:rPr>
        <w:t>partners</w:t>
      </w:r>
      <w:r w:rsidR="00EB0149">
        <w:rPr>
          <w:rFonts w:asciiTheme="majorHAnsi" w:hAnsiTheme="majorHAnsi" w:cstheme="majorHAnsi"/>
          <w:lang w:val="en-US"/>
        </w:rPr>
        <w:t xml:space="preserve"> of the </w:t>
      </w:r>
      <w:r w:rsidR="000630CB">
        <w:rPr>
          <w:rFonts w:asciiTheme="majorHAnsi" w:hAnsiTheme="majorHAnsi" w:cstheme="majorHAnsi"/>
          <w:lang w:val="en-US"/>
        </w:rPr>
        <w:t>Council</w:t>
      </w:r>
      <w:r w:rsidR="00EB0149" w:rsidRPr="00EB0149">
        <w:rPr>
          <w:rFonts w:asciiTheme="majorHAnsi" w:hAnsiTheme="majorHAnsi" w:cstheme="majorHAnsi"/>
          <w:lang w:val="en-US"/>
        </w:rPr>
        <w:t xml:space="preserve"> and all companies with whom it is contracted, will be fully informed of the procedures </w:t>
      </w:r>
      <w:r w:rsidR="00EB0149">
        <w:rPr>
          <w:rFonts w:asciiTheme="majorHAnsi" w:hAnsiTheme="majorHAnsi" w:cstheme="majorHAnsi"/>
          <w:lang w:val="en-US"/>
        </w:rPr>
        <w:t xml:space="preserve">the </w:t>
      </w:r>
      <w:r w:rsidR="000630CB">
        <w:rPr>
          <w:rFonts w:asciiTheme="majorHAnsi" w:hAnsiTheme="majorHAnsi" w:cstheme="majorHAnsi"/>
          <w:lang w:val="en-US"/>
        </w:rPr>
        <w:t>Council</w:t>
      </w:r>
      <w:r w:rsidR="00EB0149" w:rsidRPr="00EB0149">
        <w:rPr>
          <w:rFonts w:asciiTheme="majorHAnsi" w:hAnsiTheme="majorHAnsi" w:cstheme="majorHAnsi"/>
          <w:lang w:val="en-US"/>
        </w:rPr>
        <w:t xml:space="preserve"> has in</w:t>
      </w:r>
      <w:r w:rsidR="00EB0149">
        <w:rPr>
          <w:rFonts w:asciiTheme="majorHAnsi" w:hAnsiTheme="majorHAnsi" w:cstheme="majorHAnsi"/>
          <w:lang w:val="en-US"/>
        </w:rPr>
        <w:t xml:space="preserve"> </w:t>
      </w:r>
      <w:r w:rsidR="00EB0149" w:rsidRPr="00EB0149">
        <w:rPr>
          <w:rFonts w:asciiTheme="majorHAnsi" w:hAnsiTheme="majorHAnsi" w:cstheme="majorHAnsi"/>
          <w:lang w:val="en-US"/>
        </w:rPr>
        <w:t>place to combat fraud.</w:t>
      </w:r>
      <w:r w:rsidRPr="00EB0149">
        <w:rPr>
          <w:rFonts w:asciiTheme="majorHAnsi" w:hAnsiTheme="majorHAnsi" w:cstheme="majorHAnsi"/>
          <w:b/>
          <w:bCs/>
          <w:lang w:val="en-US"/>
        </w:rPr>
        <w:t xml:space="preserve"> </w:t>
      </w:r>
    </w:p>
    <w:p w14:paraId="2D2EADD6" w14:textId="18E7B230" w:rsidR="00EB0149" w:rsidRPr="00EB0149" w:rsidRDefault="007E47DE" w:rsidP="00472069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lang w:val="en-US"/>
        </w:rPr>
      </w:pPr>
      <w:r w:rsidRPr="006840C0">
        <w:rPr>
          <w:rFonts w:asciiTheme="majorHAnsi" w:hAnsiTheme="majorHAnsi" w:cstheme="majorHAnsi"/>
          <w:b/>
          <w:bCs/>
          <w:lang w:val="en-US"/>
        </w:rPr>
        <w:t xml:space="preserve">Data </w:t>
      </w:r>
      <w:r w:rsidR="00472069" w:rsidRPr="006840C0">
        <w:rPr>
          <w:rFonts w:asciiTheme="majorHAnsi" w:hAnsiTheme="majorHAnsi" w:cstheme="majorHAnsi"/>
          <w:b/>
          <w:bCs/>
          <w:lang w:val="en-US"/>
        </w:rPr>
        <w:t>quality</w:t>
      </w:r>
      <w:r w:rsidR="00472069">
        <w:rPr>
          <w:rFonts w:asciiTheme="majorHAnsi" w:hAnsiTheme="majorHAnsi" w:cstheme="majorHAnsi"/>
          <w:lang w:val="en-US"/>
        </w:rPr>
        <w:t>:</w:t>
      </w:r>
      <w:r w:rsidR="00EB0149">
        <w:rPr>
          <w:rFonts w:asciiTheme="majorHAnsi" w:hAnsiTheme="majorHAnsi" w:cstheme="majorHAnsi"/>
          <w:lang w:val="en-US"/>
        </w:rPr>
        <w:t xml:space="preserve"> </w:t>
      </w:r>
      <w:r w:rsidR="00472069">
        <w:rPr>
          <w:rFonts w:asciiTheme="majorHAnsi" w:hAnsiTheme="majorHAnsi" w:cstheme="majorHAnsi"/>
          <w:lang w:val="en-US"/>
        </w:rPr>
        <w:t xml:space="preserve">it </w:t>
      </w:r>
      <w:r w:rsidR="00EB0149" w:rsidRPr="00EB0149">
        <w:rPr>
          <w:rFonts w:asciiTheme="majorHAnsi" w:hAnsiTheme="majorHAnsi" w:cstheme="majorHAnsi"/>
          <w:lang w:val="en-US"/>
        </w:rPr>
        <w:t>is critical that</w:t>
      </w:r>
      <w:r w:rsidR="00472069">
        <w:rPr>
          <w:rFonts w:asciiTheme="majorHAnsi" w:hAnsiTheme="majorHAnsi" w:cstheme="majorHAnsi"/>
          <w:lang w:val="en-US"/>
        </w:rPr>
        <w:t xml:space="preserve"> any information or data supplied to the Council to monitor performance, make </w:t>
      </w:r>
      <w:proofErr w:type="gramStart"/>
      <w:r w:rsidR="00472069">
        <w:rPr>
          <w:rFonts w:asciiTheme="majorHAnsi" w:hAnsiTheme="majorHAnsi" w:cstheme="majorHAnsi"/>
          <w:lang w:val="en-US"/>
        </w:rPr>
        <w:t>decisions</w:t>
      </w:r>
      <w:proofErr w:type="gramEnd"/>
      <w:r w:rsidR="00472069">
        <w:rPr>
          <w:rFonts w:asciiTheme="majorHAnsi" w:hAnsiTheme="majorHAnsi" w:cstheme="majorHAnsi"/>
          <w:lang w:val="en-US"/>
        </w:rPr>
        <w:t xml:space="preserve"> or allocate resources is robust with</w:t>
      </w:r>
      <w:r w:rsidR="00EB0149" w:rsidRPr="00EB0149">
        <w:rPr>
          <w:rFonts w:asciiTheme="majorHAnsi" w:hAnsiTheme="majorHAnsi" w:cstheme="majorHAnsi"/>
          <w:lang w:val="en-US"/>
        </w:rPr>
        <w:t xml:space="preserve"> </w:t>
      </w:r>
      <w:r w:rsidR="00472069">
        <w:rPr>
          <w:rFonts w:asciiTheme="majorHAnsi" w:hAnsiTheme="majorHAnsi" w:cstheme="majorHAnsi"/>
          <w:lang w:val="en-US"/>
        </w:rPr>
        <w:t>relevant data sharing and data quality protocols should be in place.</w:t>
      </w:r>
    </w:p>
    <w:p w14:paraId="26C6A358" w14:textId="70685A4E" w:rsidR="007E47DE" w:rsidRPr="00EB0149" w:rsidRDefault="00EB0149" w:rsidP="00472069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lang w:val="en-US"/>
        </w:rPr>
        <w:lastRenderedPageBreak/>
        <w:t xml:space="preserve">Whistleblowing </w:t>
      </w:r>
      <w:r w:rsidR="00472069">
        <w:rPr>
          <w:rFonts w:asciiTheme="majorHAnsi" w:hAnsiTheme="majorHAnsi" w:cstheme="majorHAnsi"/>
          <w:b/>
          <w:bCs/>
          <w:lang w:val="en-US"/>
        </w:rPr>
        <w:t>policy</w:t>
      </w:r>
      <w:r w:rsidR="00472069">
        <w:rPr>
          <w:rFonts w:asciiTheme="majorHAnsi" w:hAnsiTheme="majorHAnsi" w:cstheme="majorHAnsi"/>
          <w:lang w:val="en-US"/>
        </w:rPr>
        <w:t>:</w:t>
      </w:r>
      <w:r>
        <w:rPr>
          <w:rFonts w:asciiTheme="majorHAnsi" w:hAnsiTheme="majorHAnsi" w:cstheme="majorHAnsi"/>
          <w:lang w:val="en-US"/>
        </w:rPr>
        <w:t xml:space="preserve"> </w:t>
      </w:r>
      <w:proofErr w:type="gramStart"/>
      <w:r w:rsidR="004B08CA">
        <w:rPr>
          <w:rFonts w:asciiTheme="majorHAnsi" w:hAnsiTheme="majorHAnsi" w:cstheme="majorHAnsi"/>
          <w:lang w:val="en-US"/>
        </w:rPr>
        <w:t>t</w:t>
      </w:r>
      <w:r w:rsidRPr="00EB0149">
        <w:rPr>
          <w:rFonts w:asciiTheme="majorHAnsi" w:hAnsiTheme="majorHAnsi" w:cstheme="majorHAnsi"/>
          <w:lang w:val="en-US"/>
        </w:rPr>
        <w:t>he</w:t>
      </w:r>
      <w:proofErr w:type="gramEnd"/>
      <w:r w:rsidRPr="00EB0149">
        <w:rPr>
          <w:rFonts w:asciiTheme="majorHAnsi" w:hAnsiTheme="majorHAnsi" w:cstheme="majorHAnsi"/>
          <w:lang w:val="en-US"/>
        </w:rPr>
        <w:t xml:space="preserve"> </w:t>
      </w:r>
      <w:r w:rsidR="000630CB">
        <w:rPr>
          <w:rFonts w:asciiTheme="majorHAnsi" w:hAnsiTheme="majorHAnsi" w:cstheme="majorHAnsi"/>
          <w:lang w:val="en-US"/>
        </w:rPr>
        <w:t>Council</w:t>
      </w:r>
      <w:r w:rsidRPr="00EB0149">
        <w:rPr>
          <w:rFonts w:asciiTheme="majorHAnsi" w:hAnsiTheme="majorHAnsi" w:cstheme="majorHAnsi"/>
          <w:lang w:val="en-US"/>
        </w:rPr>
        <w:t xml:space="preserve"> should take active steps to ensure that key contractors providing services on behalf of the </w:t>
      </w:r>
      <w:r w:rsidR="000630CB">
        <w:rPr>
          <w:rFonts w:asciiTheme="majorHAnsi" w:hAnsiTheme="majorHAnsi" w:cstheme="majorHAnsi"/>
          <w:lang w:val="en-US"/>
        </w:rPr>
        <w:t>Council</w:t>
      </w:r>
      <w:r>
        <w:rPr>
          <w:rFonts w:asciiTheme="majorHAnsi" w:hAnsiTheme="majorHAnsi" w:cstheme="majorHAnsi"/>
          <w:lang w:val="en-US"/>
        </w:rPr>
        <w:t xml:space="preserve"> </w:t>
      </w:r>
      <w:r w:rsidRPr="00EB0149">
        <w:rPr>
          <w:rFonts w:asciiTheme="majorHAnsi" w:hAnsiTheme="majorHAnsi" w:cstheme="majorHAnsi"/>
          <w:lang w:val="en-US"/>
        </w:rPr>
        <w:t xml:space="preserve">either have their own whistle blowing arrangements in place or adopt the </w:t>
      </w:r>
      <w:r w:rsidR="000630CB">
        <w:rPr>
          <w:rFonts w:asciiTheme="majorHAnsi" w:hAnsiTheme="majorHAnsi" w:cstheme="majorHAnsi"/>
          <w:lang w:val="en-US"/>
        </w:rPr>
        <w:t>Council</w:t>
      </w:r>
      <w:r w:rsidRPr="00EB0149">
        <w:rPr>
          <w:rFonts w:asciiTheme="majorHAnsi" w:hAnsiTheme="majorHAnsi" w:cstheme="majorHAnsi"/>
          <w:lang w:val="en-US"/>
        </w:rPr>
        <w:t>’s.</w:t>
      </w:r>
      <w:r w:rsidR="007E47DE" w:rsidRPr="00EB0149">
        <w:rPr>
          <w:rFonts w:asciiTheme="majorHAnsi" w:hAnsiTheme="majorHAnsi" w:cstheme="majorHAnsi"/>
          <w:b/>
          <w:bCs/>
          <w:lang w:val="en-US"/>
        </w:rPr>
        <w:t xml:space="preserve"> </w:t>
      </w:r>
    </w:p>
    <w:p w14:paraId="2D75235D" w14:textId="4FE45636" w:rsidR="007E47DE" w:rsidRPr="006966F4" w:rsidRDefault="007E47DE" w:rsidP="00472069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lang w:val="en-US"/>
        </w:rPr>
      </w:pPr>
      <w:r w:rsidRPr="006840C0">
        <w:rPr>
          <w:rFonts w:asciiTheme="majorHAnsi" w:hAnsiTheme="majorHAnsi" w:cstheme="majorHAnsi"/>
          <w:b/>
          <w:bCs/>
          <w:lang w:val="en-US"/>
        </w:rPr>
        <w:t>Safeguarding</w:t>
      </w:r>
      <w:r w:rsidR="00B22DDB">
        <w:rPr>
          <w:rFonts w:asciiTheme="majorHAnsi" w:hAnsiTheme="majorHAnsi" w:cstheme="majorHAnsi"/>
          <w:b/>
          <w:bCs/>
          <w:lang w:val="en-US"/>
        </w:rPr>
        <w:t xml:space="preserve"> vulnerable</w:t>
      </w:r>
      <w:r w:rsidRPr="006840C0">
        <w:rPr>
          <w:rFonts w:asciiTheme="majorHAnsi" w:hAnsiTheme="majorHAnsi" w:cstheme="majorHAnsi"/>
          <w:b/>
          <w:bCs/>
          <w:lang w:val="en-US"/>
        </w:rPr>
        <w:t xml:space="preserve"> adults and children</w:t>
      </w:r>
      <w:r w:rsidR="00B22DDB">
        <w:rPr>
          <w:rFonts w:asciiTheme="majorHAnsi" w:hAnsiTheme="majorHAnsi" w:cstheme="majorHAnsi"/>
          <w:lang w:val="en-US"/>
        </w:rPr>
        <w:t>; the</w:t>
      </w:r>
      <w:r w:rsidR="00B22DDB" w:rsidRPr="00B22DDB">
        <w:rPr>
          <w:rFonts w:asciiTheme="majorHAnsi" w:hAnsiTheme="majorHAnsi" w:cstheme="majorHAnsi"/>
          <w:lang w:val="en-US"/>
        </w:rPr>
        <w:t xml:space="preserve"> </w:t>
      </w:r>
      <w:r w:rsidR="000630CB">
        <w:rPr>
          <w:rFonts w:asciiTheme="majorHAnsi" w:hAnsiTheme="majorHAnsi" w:cstheme="majorHAnsi"/>
          <w:lang w:val="en-US"/>
        </w:rPr>
        <w:t>Council</w:t>
      </w:r>
      <w:r w:rsidR="00B22DDB" w:rsidRPr="00B22DDB">
        <w:rPr>
          <w:rFonts w:asciiTheme="majorHAnsi" w:hAnsiTheme="majorHAnsi" w:cstheme="majorHAnsi"/>
          <w:lang w:val="en-US"/>
        </w:rPr>
        <w:t xml:space="preserve"> is committed to safeguarding and promoting the welfare of children and </w:t>
      </w:r>
      <w:r w:rsidR="00B22DDB">
        <w:rPr>
          <w:rFonts w:asciiTheme="majorHAnsi" w:hAnsiTheme="majorHAnsi" w:cstheme="majorHAnsi"/>
          <w:lang w:val="en-US"/>
        </w:rPr>
        <w:t xml:space="preserve">vulnerable adults </w:t>
      </w:r>
      <w:r w:rsidR="00B22DDB" w:rsidRPr="00B22DDB">
        <w:rPr>
          <w:rFonts w:asciiTheme="majorHAnsi" w:hAnsiTheme="majorHAnsi" w:cstheme="majorHAnsi"/>
          <w:lang w:val="en-US"/>
        </w:rPr>
        <w:t>and to delivering services for children</w:t>
      </w:r>
      <w:r w:rsidR="00B22DDB">
        <w:rPr>
          <w:rFonts w:asciiTheme="majorHAnsi" w:hAnsiTheme="majorHAnsi" w:cstheme="majorHAnsi"/>
          <w:lang w:val="en-US"/>
        </w:rPr>
        <w:t xml:space="preserve"> and vulnerable adults</w:t>
      </w:r>
      <w:r w:rsidR="00B22DDB" w:rsidRPr="00B22DDB">
        <w:rPr>
          <w:rFonts w:asciiTheme="majorHAnsi" w:hAnsiTheme="majorHAnsi" w:cstheme="majorHAnsi"/>
          <w:lang w:val="en-US"/>
        </w:rPr>
        <w:t xml:space="preserve"> that promote </w:t>
      </w:r>
      <w:r w:rsidR="00472069">
        <w:rPr>
          <w:rFonts w:asciiTheme="majorHAnsi" w:hAnsiTheme="majorHAnsi" w:cstheme="majorHAnsi"/>
          <w:lang w:val="en-US"/>
        </w:rPr>
        <w:t xml:space="preserve">best practice.  It expects </w:t>
      </w:r>
      <w:r w:rsidR="00B22DDB" w:rsidRPr="00B22DDB">
        <w:rPr>
          <w:rFonts w:asciiTheme="majorHAnsi" w:hAnsiTheme="majorHAnsi" w:cstheme="majorHAnsi"/>
          <w:lang w:val="en-US"/>
        </w:rPr>
        <w:t xml:space="preserve">representatives, </w:t>
      </w:r>
      <w:proofErr w:type="gramStart"/>
      <w:r w:rsidR="00B22DDB" w:rsidRPr="00B22DDB">
        <w:rPr>
          <w:rFonts w:asciiTheme="majorHAnsi" w:hAnsiTheme="majorHAnsi" w:cstheme="majorHAnsi"/>
          <w:lang w:val="en-US"/>
        </w:rPr>
        <w:t>colleagues</w:t>
      </w:r>
      <w:proofErr w:type="gramEnd"/>
      <w:r w:rsidR="00B22DDB" w:rsidRPr="00B22DDB">
        <w:rPr>
          <w:rFonts w:asciiTheme="majorHAnsi" w:hAnsiTheme="majorHAnsi" w:cstheme="majorHAnsi"/>
          <w:lang w:val="en-US"/>
        </w:rPr>
        <w:t xml:space="preserve"> and partners to share this commitment.</w:t>
      </w:r>
      <w:r w:rsidRPr="00B22DDB">
        <w:rPr>
          <w:rFonts w:asciiTheme="majorHAnsi" w:hAnsiTheme="majorHAnsi" w:cstheme="majorHAnsi"/>
          <w:b/>
          <w:bCs/>
          <w:lang w:val="en-US"/>
        </w:rPr>
        <w:t xml:space="preserve"> </w:t>
      </w:r>
      <w:r w:rsidR="006966F4">
        <w:rPr>
          <w:rFonts w:asciiTheme="majorHAnsi" w:hAnsiTheme="majorHAnsi" w:cstheme="majorHAnsi"/>
          <w:lang w:val="en-US"/>
        </w:rPr>
        <w:t>Partners should refer to the</w:t>
      </w:r>
      <w:r w:rsidR="006966F4" w:rsidRPr="006966F4">
        <w:rPr>
          <w:rFonts w:asciiTheme="majorHAnsi" w:hAnsiTheme="majorHAnsi" w:cstheme="majorHAnsi"/>
          <w:lang w:val="en-US"/>
        </w:rPr>
        <w:t xml:space="preserve"> </w:t>
      </w:r>
      <w:r w:rsidR="000630CB">
        <w:rPr>
          <w:rFonts w:asciiTheme="majorHAnsi" w:hAnsiTheme="majorHAnsi" w:cstheme="majorHAnsi"/>
          <w:lang w:val="en-US"/>
        </w:rPr>
        <w:t>Council</w:t>
      </w:r>
      <w:r w:rsidR="006966F4" w:rsidRPr="006966F4">
        <w:rPr>
          <w:rFonts w:asciiTheme="majorHAnsi" w:hAnsiTheme="majorHAnsi" w:cstheme="majorHAnsi"/>
          <w:lang w:val="en-US"/>
        </w:rPr>
        <w:t>’s safeguarding</w:t>
      </w:r>
      <w:r w:rsidR="006966F4">
        <w:rPr>
          <w:rFonts w:asciiTheme="majorHAnsi" w:hAnsiTheme="majorHAnsi" w:cstheme="majorHAnsi"/>
          <w:lang w:val="en-US"/>
        </w:rPr>
        <w:t xml:space="preserve"> </w:t>
      </w:r>
      <w:r w:rsidR="006966F4" w:rsidRPr="006966F4">
        <w:rPr>
          <w:rFonts w:asciiTheme="majorHAnsi" w:hAnsiTheme="majorHAnsi" w:cstheme="majorHAnsi"/>
          <w:lang w:val="en-US"/>
        </w:rPr>
        <w:t>polic</w:t>
      </w:r>
      <w:r w:rsidR="006966F4">
        <w:rPr>
          <w:rFonts w:asciiTheme="majorHAnsi" w:hAnsiTheme="majorHAnsi" w:cstheme="majorHAnsi"/>
          <w:lang w:val="en-US"/>
        </w:rPr>
        <w:t>ies which</w:t>
      </w:r>
      <w:r w:rsidR="006966F4" w:rsidRPr="006966F4">
        <w:rPr>
          <w:rFonts w:asciiTheme="majorHAnsi" w:hAnsiTheme="majorHAnsi" w:cstheme="majorHAnsi"/>
          <w:lang w:val="en-US"/>
        </w:rPr>
        <w:t xml:space="preserve"> set out the </w:t>
      </w:r>
      <w:r w:rsidR="000630CB">
        <w:rPr>
          <w:rFonts w:asciiTheme="majorHAnsi" w:hAnsiTheme="majorHAnsi" w:cstheme="majorHAnsi"/>
          <w:lang w:val="en-US"/>
        </w:rPr>
        <w:t>Council</w:t>
      </w:r>
      <w:r w:rsidR="006966F4" w:rsidRPr="006966F4">
        <w:rPr>
          <w:rFonts w:asciiTheme="majorHAnsi" w:hAnsiTheme="majorHAnsi" w:cstheme="majorHAnsi"/>
          <w:lang w:val="en-US"/>
        </w:rPr>
        <w:t xml:space="preserve">’s guidance on protection procedures and specifies the roles and responsibilities of the </w:t>
      </w:r>
      <w:r w:rsidR="000630CB">
        <w:rPr>
          <w:rFonts w:asciiTheme="majorHAnsi" w:hAnsiTheme="majorHAnsi" w:cstheme="majorHAnsi"/>
          <w:lang w:val="en-US"/>
        </w:rPr>
        <w:t>Council</w:t>
      </w:r>
      <w:r w:rsidR="006966F4" w:rsidRPr="006966F4">
        <w:rPr>
          <w:rFonts w:asciiTheme="majorHAnsi" w:hAnsiTheme="majorHAnsi" w:cstheme="majorHAnsi"/>
          <w:lang w:val="en-US"/>
        </w:rPr>
        <w:t>’</w:t>
      </w:r>
      <w:r w:rsidR="006966F4">
        <w:rPr>
          <w:rFonts w:asciiTheme="majorHAnsi" w:hAnsiTheme="majorHAnsi" w:cstheme="majorHAnsi"/>
          <w:lang w:val="en-US"/>
        </w:rPr>
        <w:t xml:space="preserve">s </w:t>
      </w:r>
      <w:r w:rsidR="006966F4" w:rsidRPr="006966F4">
        <w:rPr>
          <w:rFonts w:asciiTheme="majorHAnsi" w:hAnsiTheme="majorHAnsi" w:cstheme="majorHAnsi"/>
          <w:lang w:val="en-US"/>
        </w:rPr>
        <w:t>representative</w:t>
      </w:r>
      <w:r w:rsidR="00472069">
        <w:rPr>
          <w:rFonts w:asciiTheme="majorHAnsi" w:hAnsiTheme="majorHAnsi" w:cstheme="majorHAnsi"/>
          <w:lang w:val="en-US"/>
        </w:rPr>
        <w:t>s</w:t>
      </w:r>
      <w:r w:rsidR="006966F4">
        <w:rPr>
          <w:rFonts w:asciiTheme="majorHAnsi" w:hAnsiTheme="majorHAnsi" w:cstheme="majorHAnsi"/>
          <w:lang w:val="en-US"/>
        </w:rPr>
        <w:t xml:space="preserve">. </w:t>
      </w:r>
    </w:p>
    <w:p w14:paraId="01DA69B3" w14:textId="2A35F74E" w:rsidR="007E47DE" w:rsidRPr="00D6677C" w:rsidRDefault="007E47DE" w:rsidP="00472069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lang w:val="en-US"/>
        </w:rPr>
      </w:pPr>
      <w:r w:rsidRPr="006840C0">
        <w:rPr>
          <w:rFonts w:asciiTheme="majorHAnsi" w:hAnsiTheme="majorHAnsi" w:cstheme="majorHAnsi"/>
          <w:b/>
          <w:bCs/>
          <w:lang w:val="en-US"/>
        </w:rPr>
        <w:t>Sustainable procurement and local spend</w:t>
      </w:r>
      <w:r w:rsidR="00D6677C">
        <w:rPr>
          <w:rFonts w:asciiTheme="majorHAnsi" w:hAnsiTheme="majorHAnsi" w:cstheme="majorHAnsi"/>
          <w:lang w:val="en-US"/>
        </w:rPr>
        <w:t xml:space="preserve">; </w:t>
      </w:r>
      <w:r w:rsidR="00D6677C" w:rsidRPr="00D6677C">
        <w:rPr>
          <w:rFonts w:asciiTheme="majorHAnsi" w:hAnsiTheme="majorHAnsi" w:cstheme="majorHAnsi"/>
          <w:lang w:val="en-US"/>
        </w:rPr>
        <w:t xml:space="preserve">work </w:t>
      </w:r>
      <w:r w:rsidR="00472069">
        <w:rPr>
          <w:rFonts w:asciiTheme="majorHAnsi" w:hAnsiTheme="majorHAnsi" w:cstheme="majorHAnsi"/>
          <w:lang w:val="en-US"/>
        </w:rPr>
        <w:t xml:space="preserve">proactively </w:t>
      </w:r>
      <w:r w:rsidR="00D6677C" w:rsidRPr="00D6677C">
        <w:rPr>
          <w:rFonts w:asciiTheme="majorHAnsi" w:hAnsiTheme="majorHAnsi" w:cstheme="majorHAnsi"/>
          <w:lang w:val="en-US"/>
        </w:rPr>
        <w:t>to achieve sustainability and environmental objectives and extend</w:t>
      </w:r>
      <w:r w:rsidR="00D6677C">
        <w:rPr>
          <w:rFonts w:asciiTheme="majorHAnsi" w:hAnsiTheme="majorHAnsi" w:cstheme="majorHAnsi"/>
          <w:lang w:val="en-US"/>
        </w:rPr>
        <w:t xml:space="preserve"> </w:t>
      </w:r>
      <w:r w:rsidR="00D6677C" w:rsidRPr="00D6677C">
        <w:rPr>
          <w:rFonts w:asciiTheme="majorHAnsi" w:hAnsiTheme="majorHAnsi" w:cstheme="majorHAnsi"/>
          <w:lang w:val="en-US"/>
        </w:rPr>
        <w:t>sustainability improvements</w:t>
      </w:r>
      <w:r w:rsidR="00472069">
        <w:rPr>
          <w:rFonts w:asciiTheme="majorHAnsi" w:hAnsiTheme="majorHAnsi" w:cstheme="majorHAnsi"/>
          <w:lang w:val="en-US"/>
        </w:rPr>
        <w:t xml:space="preserve"> </w:t>
      </w:r>
      <w:r w:rsidR="00D6677C" w:rsidRPr="00D6677C">
        <w:rPr>
          <w:rFonts w:asciiTheme="majorHAnsi" w:hAnsiTheme="majorHAnsi" w:cstheme="majorHAnsi"/>
          <w:lang w:val="en-US"/>
        </w:rPr>
        <w:t xml:space="preserve">in </w:t>
      </w:r>
      <w:r w:rsidR="00472069">
        <w:rPr>
          <w:rFonts w:asciiTheme="majorHAnsi" w:hAnsiTheme="majorHAnsi" w:cstheme="majorHAnsi"/>
          <w:lang w:val="en-US"/>
        </w:rPr>
        <w:t>accordanc</w:t>
      </w:r>
      <w:r w:rsidR="00D6677C" w:rsidRPr="00D6677C">
        <w:rPr>
          <w:rFonts w:asciiTheme="majorHAnsi" w:hAnsiTheme="majorHAnsi" w:cstheme="majorHAnsi"/>
          <w:lang w:val="en-US"/>
        </w:rPr>
        <w:t>e with</w:t>
      </w:r>
      <w:r w:rsidR="00472069">
        <w:rPr>
          <w:rFonts w:asciiTheme="majorHAnsi" w:hAnsiTheme="majorHAnsi" w:cstheme="majorHAnsi"/>
          <w:lang w:val="en-US"/>
        </w:rPr>
        <w:t xml:space="preserve"> the Councils social value commitments and policies.</w:t>
      </w:r>
    </w:p>
    <w:p w14:paraId="3315B35F" w14:textId="75BBEDE4" w:rsidR="007E47DE" w:rsidRPr="006966F4" w:rsidRDefault="007E47DE" w:rsidP="00472069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lang w:val="en-US"/>
        </w:rPr>
      </w:pPr>
      <w:r w:rsidRPr="006840C0">
        <w:rPr>
          <w:rFonts w:asciiTheme="majorHAnsi" w:hAnsiTheme="majorHAnsi" w:cstheme="majorHAnsi"/>
          <w:b/>
          <w:bCs/>
          <w:lang w:val="en-US"/>
        </w:rPr>
        <w:t xml:space="preserve">Business continuity </w:t>
      </w:r>
      <w:r w:rsidR="00472069" w:rsidRPr="006840C0">
        <w:rPr>
          <w:rFonts w:asciiTheme="majorHAnsi" w:hAnsiTheme="majorHAnsi" w:cstheme="majorHAnsi"/>
          <w:b/>
          <w:bCs/>
          <w:lang w:val="en-US"/>
        </w:rPr>
        <w:t>arrangement</w:t>
      </w:r>
      <w:r w:rsidR="00472069">
        <w:rPr>
          <w:rFonts w:asciiTheme="majorHAnsi" w:hAnsiTheme="majorHAnsi" w:cstheme="majorHAnsi"/>
          <w:lang w:val="en-US"/>
        </w:rPr>
        <w:t>:</w:t>
      </w:r>
      <w:r w:rsidR="006966F4">
        <w:rPr>
          <w:rFonts w:asciiTheme="majorHAnsi" w:hAnsiTheme="majorHAnsi" w:cstheme="majorHAnsi"/>
          <w:lang w:val="en-US"/>
        </w:rPr>
        <w:t xml:space="preserve"> there should be</w:t>
      </w:r>
      <w:r w:rsidR="006966F4" w:rsidRPr="006966F4">
        <w:rPr>
          <w:rFonts w:asciiTheme="majorHAnsi" w:hAnsiTheme="majorHAnsi" w:cstheme="majorHAnsi"/>
          <w:lang w:val="en-US"/>
        </w:rPr>
        <w:t xml:space="preserve"> effective, relevant business continuity arrangements </w:t>
      </w:r>
      <w:r w:rsidR="006966F4">
        <w:rPr>
          <w:rFonts w:asciiTheme="majorHAnsi" w:hAnsiTheme="majorHAnsi" w:cstheme="majorHAnsi"/>
          <w:lang w:val="en-US"/>
        </w:rPr>
        <w:t xml:space="preserve">that </w:t>
      </w:r>
      <w:r w:rsidR="006966F4" w:rsidRPr="006966F4">
        <w:rPr>
          <w:rFonts w:asciiTheme="majorHAnsi" w:hAnsiTheme="majorHAnsi" w:cstheme="majorHAnsi"/>
          <w:lang w:val="en-US"/>
        </w:rPr>
        <w:t>are maintained throughout</w:t>
      </w:r>
      <w:r w:rsidR="006966F4">
        <w:rPr>
          <w:rFonts w:asciiTheme="majorHAnsi" w:hAnsiTheme="majorHAnsi" w:cstheme="majorHAnsi"/>
          <w:lang w:val="en-US"/>
        </w:rPr>
        <w:t xml:space="preserve"> </w:t>
      </w:r>
      <w:r w:rsidR="006966F4" w:rsidRPr="006966F4">
        <w:rPr>
          <w:rFonts w:asciiTheme="majorHAnsi" w:hAnsiTheme="majorHAnsi" w:cstheme="majorHAnsi"/>
          <w:lang w:val="en-US"/>
        </w:rPr>
        <w:t>the life of the partnership</w:t>
      </w:r>
      <w:r w:rsidR="006966F4">
        <w:rPr>
          <w:rFonts w:asciiTheme="majorHAnsi" w:hAnsiTheme="majorHAnsi" w:cstheme="majorHAnsi"/>
          <w:lang w:val="en-US"/>
        </w:rPr>
        <w:t xml:space="preserve"> or contract. </w:t>
      </w:r>
      <w:r w:rsidRPr="006966F4">
        <w:rPr>
          <w:rFonts w:asciiTheme="majorHAnsi" w:hAnsiTheme="majorHAnsi" w:cstheme="majorHAnsi"/>
          <w:b/>
          <w:bCs/>
          <w:lang w:val="en-US"/>
        </w:rPr>
        <w:t xml:space="preserve"> </w:t>
      </w:r>
    </w:p>
    <w:p w14:paraId="628F17F5" w14:textId="03E1C23C" w:rsidR="007E47DE" w:rsidRPr="006966F4" w:rsidRDefault="007E47DE" w:rsidP="00472069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lang w:val="en-US"/>
        </w:rPr>
      </w:pPr>
      <w:r w:rsidRPr="006840C0">
        <w:rPr>
          <w:rFonts w:asciiTheme="majorHAnsi" w:hAnsiTheme="majorHAnsi" w:cstheme="majorHAnsi"/>
          <w:b/>
          <w:bCs/>
          <w:lang w:val="en-US"/>
        </w:rPr>
        <w:t>Dispute prevention and resolution controls</w:t>
      </w:r>
      <w:r w:rsidR="006966F4">
        <w:rPr>
          <w:rFonts w:asciiTheme="majorHAnsi" w:hAnsiTheme="majorHAnsi" w:cstheme="majorHAnsi"/>
          <w:lang w:val="en-US"/>
        </w:rPr>
        <w:t>; t</w:t>
      </w:r>
      <w:r w:rsidR="006966F4" w:rsidRPr="006966F4">
        <w:rPr>
          <w:rFonts w:asciiTheme="majorHAnsi" w:hAnsiTheme="majorHAnsi" w:cstheme="majorHAnsi"/>
          <w:lang w:val="en-US"/>
        </w:rPr>
        <w:t>he partnership agreement should also contain</w:t>
      </w:r>
      <w:r w:rsidR="006966F4">
        <w:rPr>
          <w:rFonts w:asciiTheme="majorHAnsi" w:hAnsiTheme="majorHAnsi" w:cstheme="majorHAnsi"/>
          <w:lang w:val="en-US"/>
        </w:rPr>
        <w:t xml:space="preserve"> </w:t>
      </w:r>
      <w:r w:rsidR="006966F4" w:rsidRPr="006966F4">
        <w:rPr>
          <w:rFonts w:asciiTheme="majorHAnsi" w:hAnsiTheme="majorHAnsi" w:cstheme="majorHAnsi"/>
          <w:lang w:val="en-US"/>
        </w:rPr>
        <w:t xml:space="preserve">agreement variation and dispute resolution mechanisms so that if problems </w:t>
      </w:r>
      <w:proofErr w:type="gramStart"/>
      <w:r w:rsidR="006966F4" w:rsidRPr="006966F4">
        <w:rPr>
          <w:rFonts w:asciiTheme="majorHAnsi" w:hAnsiTheme="majorHAnsi" w:cstheme="majorHAnsi"/>
          <w:lang w:val="en-US"/>
        </w:rPr>
        <w:t>arise</w:t>
      </w:r>
      <w:proofErr w:type="gramEnd"/>
      <w:r w:rsidR="006966F4" w:rsidRPr="006966F4">
        <w:rPr>
          <w:rFonts w:asciiTheme="majorHAnsi" w:hAnsiTheme="majorHAnsi" w:cstheme="majorHAnsi"/>
          <w:lang w:val="en-US"/>
        </w:rPr>
        <w:t xml:space="preserve"> they are resolved quickly and</w:t>
      </w:r>
      <w:r w:rsidR="006966F4">
        <w:rPr>
          <w:rFonts w:asciiTheme="majorHAnsi" w:hAnsiTheme="majorHAnsi" w:cstheme="majorHAnsi"/>
          <w:lang w:val="en-US"/>
        </w:rPr>
        <w:t xml:space="preserve"> </w:t>
      </w:r>
      <w:r w:rsidR="006966F4" w:rsidRPr="006966F4">
        <w:rPr>
          <w:rFonts w:asciiTheme="majorHAnsi" w:hAnsiTheme="majorHAnsi" w:cstheme="majorHAnsi"/>
          <w:lang w:val="en-US"/>
        </w:rPr>
        <w:t>amicably.</w:t>
      </w:r>
      <w:r w:rsidRPr="006966F4">
        <w:rPr>
          <w:rFonts w:asciiTheme="majorHAnsi" w:hAnsiTheme="majorHAnsi" w:cstheme="majorHAnsi"/>
          <w:b/>
          <w:bCs/>
          <w:lang w:val="en-US"/>
        </w:rPr>
        <w:t xml:space="preserve"> </w:t>
      </w:r>
    </w:p>
    <w:p w14:paraId="629F4F86" w14:textId="7F45F56A" w:rsidR="007E47DE" w:rsidRDefault="007E47DE" w:rsidP="00472069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lang w:val="en-US"/>
        </w:rPr>
      </w:pPr>
      <w:r w:rsidRPr="006840C0">
        <w:rPr>
          <w:rFonts w:asciiTheme="majorHAnsi" w:hAnsiTheme="majorHAnsi" w:cstheme="majorHAnsi"/>
          <w:b/>
          <w:bCs/>
          <w:lang w:val="en-US"/>
        </w:rPr>
        <w:t>Exit strategies</w:t>
      </w:r>
      <w:r w:rsidR="006966F4">
        <w:rPr>
          <w:rFonts w:asciiTheme="majorHAnsi" w:hAnsiTheme="majorHAnsi" w:cstheme="majorHAnsi"/>
          <w:lang w:val="en-US"/>
        </w:rPr>
        <w:t xml:space="preserve">; </w:t>
      </w:r>
      <w:r w:rsidR="006966F4" w:rsidRPr="006966F4">
        <w:rPr>
          <w:rFonts w:asciiTheme="majorHAnsi" w:hAnsiTheme="majorHAnsi" w:cstheme="majorHAnsi"/>
          <w:lang w:val="en-US"/>
        </w:rPr>
        <w:t xml:space="preserve">develop a clear exit strategy for </w:t>
      </w:r>
      <w:proofErr w:type="gramStart"/>
      <w:r w:rsidR="006966F4" w:rsidRPr="006966F4">
        <w:rPr>
          <w:rFonts w:asciiTheme="majorHAnsi" w:hAnsiTheme="majorHAnsi" w:cstheme="majorHAnsi"/>
          <w:lang w:val="en-US"/>
        </w:rPr>
        <w:t>all of</w:t>
      </w:r>
      <w:proofErr w:type="gramEnd"/>
      <w:r w:rsidR="006966F4" w:rsidRPr="006966F4">
        <w:rPr>
          <w:rFonts w:asciiTheme="majorHAnsi" w:hAnsiTheme="majorHAnsi" w:cstheme="majorHAnsi"/>
          <w:lang w:val="en-US"/>
        </w:rPr>
        <w:t xml:space="preserve"> its key</w:t>
      </w:r>
      <w:r w:rsidR="006966F4">
        <w:rPr>
          <w:rFonts w:asciiTheme="majorHAnsi" w:hAnsiTheme="majorHAnsi" w:cstheme="majorHAnsi"/>
          <w:lang w:val="en-US"/>
        </w:rPr>
        <w:t xml:space="preserve"> contracts and</w:t>
      </w:r>
      <w:r w:rsidR="006966F4" w:rsidRPr="006966F4">
        <w:rPr>
          <w:rFonts w:asciiTheme="majorHAnsi" w:hAnsiTheme="majorHAnsi" w:cstheme="majorHAnsi"/>
          <w:lang w:val="en-US"/>
        </w:rPr>
        <w:t xml:space="preserve"> partnerships in order to mitigate the financial, reputational and</w:t>
      </w:r>
      <w:r w:rsidR="006966F4">
        <w:rPr>
          <w:rFonts w:asciiTheme="majorHAnsi" w:hAnsiTheme="majorHAnsi" w:cstheme="majorHAnsi"/>
          <w:lang w:val="en-US"/>
        </w:rPr>
        <w:t xml:space="preserve"> </w:t>
      </w:r>
      <w:r w:rsidR="006966F4" w:rsidRPr="006966F4">
        <w:rPr>
          <w:rFonts w:asciiTheme="majorHAnsi" w:hAnsiTheme="majorHAnsi" w:cstheme="majorHAnsi"/>
          <w:lang w:val="en-US"/>
        </w:rPr>
        <w:t xml:space="preserve">other risks that could </w:t>
      </w:r>
      <w:proofErr w:type="spellStart"/>
      <w:r w:rsidR="006966F4" w:rsidRPr="006966F4">
        <w:rPr>
          <w:rFonts w:asciiTheme="majorHAnsi" w:hAnsiTheme="majorHAnsi" w:cstheme="majorHAnsi"/>
          <w:lang w:val="en-US"/>
        </w:rPr>
        <w:t>materialise</w:t>
      </w:r>
      <w:proofErr w:type="spellEnd"/>
      <w:r w:rsidR="006966F4" w:rsidRPr="006966F4">
        <w:rPr>
          <w:rFonts w:asciiTheme="majorHAnsi" w:hAnsiTheme="majorHAnsi" w:cstheme="majorHAnsi"/>
          <w:lang w:val="en-US"/>
        </w:rPr>
        <w:t>. Notice periods and exceptions to notice periods should also be included.</w:t>
      </w:r>
    </w:p>
    <w:p w14:paraId="39E4D939" w14:textId="0912BC32" w:rsidR="005C6C96" w:rsidRDefault="005C6C96" w:rsidP="005C6C96">
      <w:pPr>
        <w:jc w:val="both"/>
        <w:rPr>
          <w:rFonts w:asciiTheme="majorHAnsi" w:hAnsiTheme="majorHAnsi" w:cstheme="majorHAnsi"/>
          <w:lang w:val="en-US"/>
        </w:rPr>
      </w:pPr>
    </w:p>
    <w:p w14:paraId="2ECA8489" w14:textId="2A4B425B" w:rsidR="005C6C96" w:rsidRDefault="005C6C96" w:rsidP="005C6C96">
      <w:pPr>
        <w:jc w:val="both"/>
        <w:rPr>
          <w:rFonts w:asciiTheme="majorHAnsi" w:hAnsiTheme="majorHAnsi" w:cstheme="majorHAnsi"/>
          <w:lang w:val="en-US"/>
        </w:rPr>
      </w:pPr>
    </w:p>
    <w:p w14:paraId="243D5495" w14:textId="5FE2A275" w:rsidR="005C6C96" w:rsidRDefault="005C6C96" w:rsidP="005C6C96">
      <w:pPr>
        <w:jc w:val="both"/>
        <w:rPr>
          <w:rFonts w:asciiTheme="majorHAnsi" w:hAnsiTheme="majorHAnsi" w:cstheme="majorHAnsi"/>
          <w:lang w:val="en-US"/>
        </w:rPr>
      </w:pPr>
    </w:p>
    <w:p w14:paraId="147F438A" w14:textId="714EC139" w:rsidR="005C6C96" w:rsidRDefault="005C6C96" w:rsidP="005C6C96">
      <w:pPr>
        <w:jc w:val="both"/>
        <w:rPr>
          <w:rFonts w:asciiTheme="majorHAnsi" w:hAnsiTheme="majorHAnsi" w:cstheme="majorHAnsi"/>
          <w:lang w:val="en-US"/>
        </w:rPr>
      </w:pPr>
    </w:p>
    <w:p w14:paraId="75579B78" w14:textId="3CF43CDC" w:rsidR="005C6C96" w:rsidRDefault="005C6C96" w:rsidP="005C6C96">
      <w:pPr>
        <w:jc w:val="both"/>
        <w:rPr>
          <w:rFonts w:asciiTheme="majorHAnsi" w:hAnsiTheme="majorHAnsi" w:cstheme="majorHAnsi"/>
          <w:lang w:val="en-US"/>
        </w:rPr>
      </w:pPr>
    </w:p>
    <w:p w14:paraId="00CF9DEA" w14:textId="37E9D341" w:rsidR="005C6C96" w:rsidRDefault="005C6C96" w:rsidP="005C6C96">
      <w:pPr>
        <w:jc w:val="both"/>
        <w:rPr>
          <w:rFonts w:asciiTheme="majorHAnsi" w:hAnsiTheme="majorHAnsi" w:cstheme="majorHAnsi"/>
          <w:lang w:val="en-US"/>
        </w:rPr>
      </w:pPr>
    </w:p>
    <w:p w14:paraId="205A35C4" w14:textId="3FCD5447" w:rsidR="005C6C96" w:rsidRDefault="005C6C96" w:rsidP="005C6C96">
      <w:pPr>
        <w:jc w:val="both"/>
        <w:rPr>
          <w:rFonts w:asciiTheme="majorHAnsi" w:hAnsiTheme="majorHAnsi" w:cstheme="majorHAnsi"/>
          <w:lang w:val="en-US"/>
        </w:rPr>
      </w:pPr>
    </w:p>
    <w:p w14:paraId="18F1AA92" w14:textId="77777777" w:rsidR="005C6C96" w:rsidRDefault="005C6C96" w:rsidP="005C6C96">
      <w:pPr>
        <w:jc w:val="both"/>
        <w:rPr>
          <w:rFonts w:asciiTheme="majorHAnsi" w:hAnsiTheme="majorHAnsi" w:cstheme="majorHAnsi"/>
          <w:b/>
          <w:bCs/>
          <w:color w:val="147FA8"/>
          <w:sz w:val="28"/>
          <w:szCs w:val="28"/>
          <w:lang w:val="en-US"/>
        </w:rPr>
        <w:sectPr w:rsidR="005C6C96" w:rsidSect="003E3AB0">
          <w:footerReference w:type="defaul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8436E09" w14:textId="3193127B" w:rsidR="005C6C96" w:rsidRDefault="005C6C96" w:rsidP="005C6C96">
      <w:pPr>
        <w:jc w:val="both"/>
        <w:rPr>
          <w:rFonts w:asciiTheme="majorHAnsi" w:hAnsiTheme="majorHAnsi" w:cstheme="majorHAnsi"/>
          <w:b/>
          <w:bCs/>
          <w:color w:val="147FA8"/>
          <w:sz w:val="28"/>
          <w:szCs w:val="28"/>
          <w:lang w:val="en-US"/>
        </w:rPr>
      </w:pPr>
      <w:r w:rsidRPr="001B6A2F">
        <w:rPr>
          <w:rFonts w:asciiTheme="majorHAnsi" w:hAnsiTheme="majorHAnsi" w:cstheme="majorHAnsi"/>
          <w:b/>
          <w:bCs/>
          <w:color w:val="147FA8"/>
          <w:sz w:val="28"/>
          <w:szCs w:val="28"/>
          <w:lang w:val="en-US"/>
        </w:rPr>
        <w:lastRenderedPageBreak/>
        <w:t>A</w:t>
      </w:r>
      <w:r>
        <w:rPr>
          <w:rFonts w:asciiTheme="majorHAnsi" w:hAnsiTheme="majorHAnsi" w:cstheme="majorHAnsi"/>
          <w:b/>
          <w:bCs/>
          <w:color w:val="147FA8"/>
          <w:sz w:val="28"/>
          <w:szCs w:val="28"/>
          <w:lang w:val="en-US"/>
        </w:rPr>
        <w:t xml:space="preserve">ppendix A – </w:t>
      </w:r>
      <w:r w:rsidR="00A60389">
        <w:rPr>
          <w:rFonts w:asciiTheme="majorHAnsi" w:hAnsiTheme="majorHAnsi" w:cstheme="majorHAnsi"/>
          <w:b/>
          <w:bCs/>
          <w:color w:val="147FA8"/>
          <w:sz w:val="28"/>
          <w:szCs w:val="28"/>
          <w:lang w:val="en-US"/>
        </w:rPr>
        <w:t>K</w:t>
      </w:r>
      <w:r>
        <w:rPr>
          <w:rFonts w:asciiTheme="majorHAnsi" w:hAnsiTheme="majorHAnsi" w:cstheme="majorHAnsi"/>
          <w:b/>
          <w:bCs/>
          <w:color w:val="147FA8"/>
          <w:sz w:val="28"/>
          <w:szCs w:val="28"/>
          <w:lang w:val="en-US"/>
        </w:rPr>
        <w:t xml:space="preserve">ey </w:t>
      </w:r>
      <w:r w:rsidR="0030389A">
        <w:rPr>
          <w:rFonts w:asciiTheme="majorHAnsi" w:hAnsiTheme="majorHAnsi" w:cstheme="majorHAnsi"/>
          <w:b/>
          <w:bCs/>
          <w:color w:val="147FA8"/>
          <w:sz w:val="28"/>
          <w:szCs w:val="28"/>
          <w:lang w:val="en-US"/>
        </w:rPr>
        <w:t>C</w:t>
      </w:r>
      <w:r>
        <w:rPr>
          <w:rFonts w:asciiTheme="majorHAnsi" w:hAnsiTheme="majorHAnsi" w:cstheme="majorHAnsi"/>
          <w:b/>
          <w:bCs/>
          <w:color w:val="147FA8"/>
          <w:sz w:val="28"/>
          <w:szCs w:val="28"/>
          <w:lang w:val="en-US"/>
        </w:rPr>
        <w:t xml:space="preserve">ontracts and </w:t>
      </w:r>
      <w:r w:rsidR="0030389A">
        <w:rPr>
          <w:rFonts w:asciiTheme="majorHAnsi" w:hAnsiTheme="majorHAnsi" w:cstheme="majorHAnsi"/>
          <w:b/>
          <w:bCs/>
          <w:color w:val="147FA8"/>
          <w:sz w:val="28"/>
          <w:szCs w:val="28"/>
          <w:lang w:val="en-US"/>
        </w:rPr>
        <w:t>P</w:t>
      </w:r>
      <w:r>
        <w:rPr>
          <w:rFonts w:asciiTheme="majorHAnsi" w:hAnsiTheme="majorHAnsi" w:cstheme="majorHAnsi"/>
          <w:b/>
          <w:bCs/>
          <w:color w:val="147FA8"/>
          <w:sz w:val="28"/>
          <w:szCs w:val="28"/>
          <w:lang w:val="en-US"/>
        </w:rPr>
        <w:t>artnerships 2021</w:t>
      </w:r>
    </w:p>
    <w:tbl>
      <w:tblPr>
        <w:tblStyle w:val="TableGrid"/>
        <w:tblW w:w="14891" w:type="dxa"/>
        <w:tblLook w:val="04A0" w:firstRow="1" w:lastRow="0" w:firstColumn="1" w:lastColumn="0" w:noHBand="0" w:noVBand="1"/>
      </w:tblPr>
      <w:tblGrid>
        <w:gridCol w:w="2122"/>
        <w:gridCol w:w="4819"/>
        <w:gridCol w:w="1701"/>
        <w:gridCol w:w="1276"/>
        <w:gridCol w:w="4973"/>
      </w:tblGrid>
      <w:tr w:rsidR="005C6C96" w14:paraId="74CA9C86" w14:textId="77777777" w:rsidTr="005C6C96">
        <w:trPr>
          <w:trHeight w:val="4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7FA8"/>
            <w:vAlign w:val="center"/>
            <w:hideMark/>
          </w:tcPr>
          <w:p w14:paraId="1DE105E6" w14:textId="07955234" w:rsidR="005C6C96" w:rsidRPr="00A60389" w:rsidRDefault="005C6C96" w:rsidP="000A77FE">
            <w:pPr>
              <w:pStyle w:val="Default"/>
              <w:rPr>
                <w:b/>
                <w:bCs/>
                <w:color w:val="FFFFFF" w:themeColor="background1"/>
              </w:rPr>
            </w:pPr>
            <w:r w:rsidRPr="00A60389">
              <w:rPr>
                <w:b/>
                <w:bCs/>
                <w:color w:val="FFFFFF" w:themeColor="background1"/>
              </w:rPr>
              <w:t xml:space="preserve">Key contract / partnership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7FA8"/>
            <w:vAlign w:val="center"/>
            <w:hideMark/>
          </w:tcPr>
          <w:p w14:paraId="5CABFC9E" w14:textId="77777777" w:rsidR="005C6C96" w:rsidRPr="00A60389" w:rsidRDefault="005C6C96" w:rsidP="000A77FE">
            <w:pPr>
              <w:pStyle w:val="Default"/>
              <w:rPr>
                <w:b/>
                <w:bCs/>
                <w:color w:val="FFFFFF" w:themeColor="background1"/>
              </w:rPr>
            </w:pPr>
            <w:r w:rsidRPr="00A60389">
              <w:rPr>
                <w:b/>
                <w:bCs/>
                <w:color w:val="FFFFFF" w:themeColor="background1"/>
              </w:rPr>
              <w:t xml:space="preserve">Purpose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7FA8"/>
          </w:tcPr>
          <w:p w14:paraId="76BBC905" w14:textId="39C97147" w:rsidR="005C6C96" w:rsidRPr="00A60389" w:rsidRDefault="005C6C96" w:rsidP="000A77FE">
            <w:pPr>
              <w:pStyle w:val="Default"/>
              <w:rPr>
                <w:b/>
                <w:bCs/>
                <w:color w:val="FFFFFF" w:themeColor="background1"/>
              </w:rPr>
            </w:pPr>
            <w:r w:rsidRPr="00A60389">
              <w:rPr>
                <w:b/>
                <w:bCs/>
                <w:color w:val="FFFFFF" w:themeColor="background1"/>
              </w:rPr>
              <w:t>Lead directorate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7FA8"/>
            <w:vAlign w:val="center"/>
            <w:hideMark/>
          </w:tcPr>
          <w:p w14:paraId="4D073392" w14:textId="4AA6A95A" w:rsidR="005C6C96" w:rsidRPr="00A60389" w:rsidRDefault="005C6C96" w:rsidP="000A77FE">
            <w:pPr>
              <w:pStyle w:val="Default"/>
              <w:rPr>
                <w:b/>
                <w:bCs/>
                <w:color w:val="FFFFFF" w:themeColor="background1"/>
              </w:rPr>
            </w:pPr>
            <w:r w:rsidRPr="00A60389">
              <w:rPr>
                <w:b/>
                <w:bCs/>
                <w:color w:val="FFFFFF" w:themeColor="background1"/>
              </w:rPr>
              <w:t>Value – per annum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7FA8"/>
            <w:vAlign w:val="center"/>
            <w:hideMark/>
          </w:tcPr>
          <w:p w14:paraId="28523511" w14:textId="6F9E5291" w:rsidR="005C6C96" w:rsidRPr="00A60389" w:rsidRDefault="005C6C96" w:rsidP="000A77FE">
            <w:pPr>
              <w:pStyle w:val="Default"/>
              <w:rPr>
                <w:b/>
                <w:bCs/>
                <w:color w:val="FFFFFF" w:themeColor="background1"/>
              </w:rPr>
            </w:pPr>
            <w:r w:rsidRPr="00A60389">
              <w:rPr>
                <w:b/>
                <w:bCs/>
                <w:color w:val="FFFFFF" w:themeColor="background1"/>
              </w:rPr>
              <w:t xml:space="preserve">Reason for inclusion </w:t>
            </w:r>
          </w:p>
        </w:tc>
      </w:tr>
      <w:tr w:rsidR="005C6C96" w14:paraId="1B6B5C77" w14:textId="77777777" w:rsidTr="005C6C96">
        <w:trPr>
          <w:trHeight w:val="2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5117" w14:textId="77777777" w:rsidR="005C6C96" w:rsidRDefault="005C6C96" w:rsidP="005C6C9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 Move partnership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8D49" w14:textId="77777777" w:rsidR="005C6C96" w:rsidRDefault="005C6C96" w:rsidP="005C6C9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Choice based lettings partnership and allocations policy – part of this is commissioning CIVICA as the software provider for the housing register and homeless database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CABF" w14:textId="40FB8058" w:rsidR="005C6C96" w:rsidRDefault="005C6C96" w:rsidP="005C6C96">
            <w:pPr>
              <w:pStyle w:val="Default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Communities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109F" w14:textId="21F41184" w:rsidR="005C6C96" w:rsidRDefault="005C6C96" w:rsidP="005C6C9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£9k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9236" w14:textId="77777777" w:rsidR="005C6C96" w:rsidRDefault="005C6C96" w:rsidP="005C6C96">
            <w:pPr>
              <w:pStyle w:val="ListParagraph"/>
              <w:numPr>
                <w:ilvl w:val="0"/>
                <w:numId w:val="19"/>
              </w:numPr>
              <w:pBdr>
                <w:top w:val="single" w:sz="2" w:space="0" w:color="FFFFFF"/>
                <w:left w:val="single" w:sz="2" w:space="0" w:color="FFFFFF"/>
                <w:bottom w:val="single" w:sz="2" w:space="2" w:color="FFFFFF"/>
                <w:right w:val="single" w:sz="2" w:space="4" w:color="FFFFFF"/>
              </w:pBdr>
              <w:spacing w:after="0" w:line="240" w:lineRule="auto"/>
              <w:ind w:right="141"/>
              <w:jc w:val="both"/>
            </w:pPr>
            <w:r>
              <w:t>There is significant impact on the delivery of the council’s strategic objectives</w:t>
            </w:r>
          </w:p>
          <w:p w14:paraId="14E7CB35" w14:textId="77777777" w:rsidR="005C6C96" w:rsidRDefault="005C6C96" w:rsidP="005C6C96">
            <w:pPr>
              <w:pStyle w:val="ListParagraph"/>
              <w:numPr>
                <w:ilvl w:val="0"/>
                <w:numId w:val="19"/>
              </w:numPr>
              <w:pBdr>
                <w:top w:val="single" w:sz="2" w:space="0" w:color="FFFFFF"/>
                <w:left w:val="single" w:sz="2" w:space="0" w:color="FFFFFF"/>
                <w:bottom w:val="single" w:sz="2" w:space="2" w:color="FFFFFF"/>
                <w:right w:val="single" w:sz="2" w:space="4" w:color="FFFFFF"/>
              </w:pBdr>
              <w:spacing w:after="0" w:line="240" w:lineRule="auto"/>
              <w:ind w:right="141"/>
              <w:jc w:val="both"/>
            </w:pPr>
            <w:r>
              <w:t>Delivery of core services</w:t>
            </w:r>
          </w:p>
        </w:tc>
      </w:tr>
      <w:tr w:rsidR="005C6C96" w14:paraId="62E394C9" w14:textId="77777777" w:rsidTr="005C6C96">
        <w:trPr>
          <w:trHeight w:val="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6831" w14:textId="77777777" w:rsidR="005C6C96" w:rsidRDefault="005C6C96" w:rsidP="005C6C9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Capita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CF3A" w14:textId="77777777" w:rsidR="005C6C96" w:rsidRDefault="005C6C96" w:rsidP="005C6C9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Key supplier of revenues and benefits software and associated services, including managed system support for the council.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61A7" w14:textId="0F05E82A" w:rsidR="005C6C96" w:rsidRDefault="005C6C96" w:rsidP="005C6C9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Customer and Digital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E374" w14:textId="1387F29E" w:rsidR="005C6C96" w:rsidRDefault="005C6C96" w:rsidP="005C6C9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£100k approx.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8487" w14:textId="77777777" w:rsidR="005C6C96" w:rsidRDefault="005C6C96" w:rsidP="005C6C96">
            <w:pPr>
              <w:pStyle w:val="ListParagraph"/>
              <w:numPr>
                <w:ilvl w:val="0"/>
                <w:numId w:val="20"/>
              </w:numPr>
              <w:pBdr>
                <w:top w:val="single" w:sz="2" w:space="0" w:color="FFFFFF"/>
                <w:left w:val="single" w:sz="2" w:space="0" w:color="FFFFFF"/>
                <w:bottom w:val="single" w:sz="2" w:space="2" w:color="FFFFFF"/>
                <w:right w:val="single" w:sz="2" w:space="4" w:color="FFFFFF"/>
              </w:pBdr>
              <w:spacing w:after="0" w:line="240" w:lineRule="auto"/>
              <w:ind w:right="141"/>
              <w:jc w:val="both"/>
            </w:pPr>
            <w:r>
              <w:t>Delivery of core services</w:t>
            </w:r>
          </w:p>
          <w:p w14:paraId="6538E909" w14:textId="77777777" w:rsidR="005C6C96" w:rsidRDefault="005C6C96" w:rsidP="005C6C96">
            <w:pPr>
              <w:pStyle w:val="ListParagraph"/>
              <w:numPr>
                <w:ilvl w:val="0"/>
                <w:numId w:val="20"/>
              </w:numPr>
              <w:pBdr>
                <w:top w:val="single" w:sz="2" w:space="0" w:color="FFFFFF"/>
                <w:left w:val="single" w:sz="2" w:space="0" w:color="FFFFFF"/>
                <w:bottom w:val="single" w:sz="2" w:space="2" w:color="FFFFFF"/>
                <w:right w:val="single" w:sz="2" w:space="4" w:color="FFFFFF"/>
              </w:pBdr>
              <w:spacing w:after="0" w:line="240" w:lineRule="auto"/>
              <w:ind w:right="141"/>
              <w:jc w:val="both"/>
            </w:pPr>
            <w:r>
              <w:t>Significant degree of risk</w:t>
            </w:r>
          </w:p>
          <w:p w14:paraId="5350EEBC" w14:textId="77777777" w:rsidR="005C6C96" w:rsidRDefault="005C6C96" w:rsidP="005C6C96">
            <w:pPr>
              <w:pStyle w:val="ListParagraph"/>
              <w:numPr>
                <w:ilvl w:val="0"/>
                <w:numId w:val="20"/>
              </w:numPr>
              <w:pBdr>
                <w:top w:val="single" w:sz="2" w:space="0" w:color="FFFFFF"/>
                <w:left w:val="single" w:sz="2" w:space="0" w:color="FFFFFF"/>
                <w:bottom w:val="single" w:sz="2" w:space="2" w:color="FFFFFF"/>
                <w:right w:val="single" w:sz="2" w:space="4" w:color="FFFFFF"/>
              </w:pBdr>
              <w:spacing w:after="0" w:line="240" w:lineRule="auto"/>
              <w:ind w:right="141"/>
              <w:jc w:val="both"/>
            </w:pPr>
            <w:r>
              <w:t>Significant financial value</w:t>
            </w:r>
          </w:p>
        </w:tc>
      </w:tr>
      <w:tr w:rsidR="005C6C96" w14:paraId="50D9B52E" w14:textId="77777777" w:rsidTr="005C6C96">
        <w:trPr>
          <w:trHeight w:val="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D1D6" w14:textId="77777777" w:rsidR="005C6C96" w:rsidRDefault="005C6C96" w:rsidP="005C6C9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IDOX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F161" w14:textId="77777777" w:rsidR="005C6C96" w:rsidRDefault="005C6C96" w:rsidP="005C6C96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</w:rPr>
              <w:t xml:space="preserve">Key supplier, providing the council with support for ICT, Democratic and Licensing services.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7583" w14:textId="122D85C0" w:rsidR="005C6C96" w:rsidRDefault="005C6C96" w:rsidP="005C6C96">
            <w:pPr>
              <w:pStyle w:val="Default"/>
              <w:jc w:val="both"/>
              <w:rPr>
                <w:sz w:val="22"/>
                <w:szCs w:val="22"/>
              </w:rPr>
            </w:pPr>
            <w:r w:rsidRPr="00103E38">
              <w:rPr>
                <w:sz w:val="22"/>
                <w:szCs w:val="22"/>
              </w:rPr>
              <w:t>Customer and Digital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12FF" w14:textId="22761DBC" w:rsidR="005C6C96" w:rsidRDefault="005C6C96" w:rsidP="005C6C9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£250k approx. 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84BF" w14:textId="77777777" w:rsidR="005C6C96" w:rsidRDefault="005C6C96" w:rsidP="005C6C96">
            <w:pPr>
              <w:pStyle w:val="ListParagraph"/>
              <w:numPr>
                <w:ilvl w:val="0"/>
                <w:numId w:val="20"/>
              </w:numPr>
              <w:pBdr>
                <w:top w:val="single" w:sz="2" w:space="0" w:color="FFFFFF"/>
                <w:left w:val="single" w:sz="2" w:space="0" w:color="FFFFFF"/>
                <w:bottom w:val="single" w:sz="2" w:space="2" w:color="FFFFFF"/>
                <w:right w:val="single" w:sz="2" w:space="4" w:color="FFFFFF"/>
              </w:pBdr>
              <w:spacing w:after="0" w:line="240" w:lineRule="auto"/>
              <w:ind w:right="141"/>
              <w:jc w:val="both"/>
            </w:pPr>
            <w:r>
              <w:t>Delivery of core services</w:t>
            </w:r>
          </w:p>
          <w:p w14:paraId="4758717F" w14:textId="77777777" w:rsidR="005C6C96" w:rsidRDefault="005C6C96" w:rsidP="005C6C96">
            <w:pPr>
              <w:pStyle w:val="ListParagraph"/>
              <w:numPr>
                <w:ilvl w:val="0"/>
                <w:numId w:val="20"/>
              </w:numPr>
              <w:pBdr>
                <w:top w:val="single" w:sz="2" w:space="0" w:color="FFFFFF"/>
                <w:left w:val="single" w:sz="2" w:space="0" w:color="FFFFFF"/>
                <w:bottom w:val="single" w:sz="2" w:space="2" w:color="FFFFFF"/>
                <w:right w:val="single" w:sz="2" w:space="4" w:color="FFFFFF"/>
              </w:pBdr>
              <w:spacing w:after="0" w:line="240" w:lineRule="auto"/>
              <w:ind w:right="141"/>
              <w:jc w:val="both"/>
            </w:pPr>
            <w:r>
              <w:t>Significant degree of risk</w:t>
            </w:r>
          </w:p>
          <w:p w14:paraId="2706F45F" w14:textId="77777777" w:rsidR="005C6C96" w:rsidRDefault="005C6C96" w:rsidP="005C6C96">
            <w:pPr>
              <w:pStyle w:val="ListParagraph"/>
              <w:numPr>
                <w:ilvl w:val="0"/>
                <w:numId w:val="20"/>
              </w:numPr>
              <w:pBdr>
                <w:top w:val="single" w:sz="2" w:space="0" w:color="FFFFFF"/>
                <w:left w:val="single" w:sz="2" w:space="0" w:color="FFFFFF"/>
                <w:bottom w:val="single" w:sz="2" w:space="2" w:color="FFFFFF"/>
                <w:right w:val="single" w:sz="2" w:space="4" w:color="FFFFFF"/>
              </w:pBdr>
              <w:spacing w:after="0" w:line="240" w:lineRule="auto"/>
              <w:ind w:right="141"/>
              <w:jc w:val="both"/>
            </w:pPr>
            <w:r>
              <w:t>Significant financial value</w:t>
            </w:r>
          </w:p>
        </w:tc>
      </w:tr>
      <w:tr w:rsidR="005C6C96" w14:paraId="2175548F" w14:textId="77777777" w:rsidTr="005C6C96">
        <w:trPr>
          <w:trHeight w:val="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894A" w14:textId="77777777" w:rsidR="005C6C96" w:rsidRDefault="005C6C96" w:rsidP="005C6C9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FCC Environment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C516" w14:textId="77777777" w:rsidR="005C6C96" w:rsidRDefault="005C6C96" w:rsidP="005C6C9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deliver the waste contract, </w:t>
            </w:r>
            <w:r>
              <w:rPr>
                <w:sz w:val="22"/>
              </w:rPr>
              <w:t xml:space="preserve">providing a waste and recycling collection service.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4FBF" w14:textId="7770D982" w:rsidR="005C6C96" w:rsidRDefault="005C6C96" w:rsidP="005C6C96">
            <w:pPr>
              <w:pStyle w:val="Default"/>
              <w:jc w:val="both"/>
              <w:rPr>
                <w:sz w:val="22"/>
                <w:szCs w:val="22"/>
              </w:rPr>
            </w:pPr>
            <w:r w:rsidRPr="00103E38">
              <w:rPr>
                <w:sz w:val="22"/>
                <w:szCs w:val="22"/>
              </w:rPr>
              <w:t>Customer and Digital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915D" w14:textId="712BEF9D" w:rsidR="005C6C96" w:rsidRDefault="005C6C96" w:rsidP="005C6C9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£1.9m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9BB6" w14:textId="77777777" w:rsidR="005C6C96" w:rsidRDefault="005C6C96" w:rsidP="005C6C96">
            <w:pPr>
              <w:pStyle w:val="ListParagraph"/>
              <w:numPr>
                <w:ilvl w:val="0"/>
                <w:numId w:val="20"/>
              </w:numPr>
              <w:pBdr>
                <w:top w:val="single" w:sz="2" w:space="0" w:color="FFFFFF"/>
                <w:left w:val="single" w:sz="2" w:space="0" w:color="FFFFFF"/>
                <w:bottom w:val="single" w:sz="2" w:space="2" w:color="FFFFFF"/>
                <w:right w:val="single" w:sz="2" w:space="4" w:color="FFFFFF"/>
              </w:pBdr>
              <w:spacing w:after="0" w:line="240" w:lineRule="auto"/>
              <w:ind w:right="141"/>
              <w:jc w:val="both"/>
            </w:pPr>
            <w:r>
              <w:t>Delivery of core services</w:t>
            </w:r>
          </w:p>
          <w:p w14:paraId="1B6389EF" w14:textId="77777777" w:rsidR="005C6C96" w:rsidRDefault="005C6C96" w:rsidP="005C6C96">
            <w:pPr>
              <w:pStyle w:val="ListParagraph"/>
              <w:numPr>
                <w:ilvl w:val="0"/>
                <w:numId w:val="20"/>
              </w:numPr>
              <w:pBdr>
                <w:top w:val="single" w:sz="2" w:space="0" w:color="FFFFFF"/>
                <w:left w:val="single" w:sz="2" w:space="0" w:color="FFFFFF"/>
                <w:bottom w:val="single" w:sz="2" w:space="2" w:color="FFFFFF"/>
                <w:right w:val="single" w:sz="2" w:space="4" w:color="FFFFFF"/>
              </w:pBdr>
              <w:spacing w:after="0" w:line="240" w:lineRule="auto"/>
              <w:ind w:right="141"/>
              <w:jc w:val="both"/>
            </w:pPr>
            <w:r>
              <w:t>Significant financial value</w:t>
            </w:r>
          </w:p>
          <w:p w14:paraId="54AF501E" w14:textId="77777777" w:rsidR="005C6C96" w:rsidRDefault="005C6C96" w:rsidP="005C6C96">
            <w:pPr>
              <w:pStyle w:val="ListParagraph"/>
              <w:numPr>
                <w:ilvl w:val="0"/>
                <w:numId w:val="20"/>
              </w:numPr>
              <w:pBdr>
                <w:top w:val="single" w:sz="2" w:space="0" w:color="FFFFFF"/>
                <w:left w:val="single" w:sz="2" w:space="0" w:color="FFFFFF"/>
                <w:bottom w:val="single" w:sz="2" w:space="2" w:color="FFFFFF"/>
                <w:right w:val="single" w:sz="2" w:space="4" w:color="FFFFFF"/>
              </w:pBdr>
              <w:spacing w:after="0" w:line="240" w:lineRule="auto"/>
              <w:ind w:right="141"/>
              <w:jc w:val="both"/>
            </w:pPr>
            <w:r>
              <w:t xml:space="preserve">Scale of human and other resources involved is large </w:t>
            </w:r>
          </w:p>
          <w:p w14:paraId="64A174E0" w14:textId="77777777" w:rsidR="005C6C96" w:rsidRDefault="005C6C96" w:rsidP="005C6C96">
            <w:pPr>
              <w:pStyle w:val="ListParagraph"/>
              <w:numPr>
                <w:ilvl w:val="0"/>
                <w:numId w:val="20"/>
              </w:numPr>
              <w:pBdr>
                <w:top w:val="single" w:sz="2" w:space="0" w:color="FFFFFF"/>
                <w:left w:val="single" w:sz="2" w:space="0" w:color="FFFFFF"/>
                <w:bottom w:val="single" w:sz="2" w:space="2" w:color="FFFFFF"/>
                <w:right w:val="single" w:sz="2" w:space="4" w:color="FFFFFF"/>
              </w:pBdr>
              <w:spacing w:after="0" w:line="240" w:lineRule="auto"/>
              <w:ind w:right="141"/>
              <w:jc w:val="both"/>
            </w:pPr>
            <w:r>
              <w:t xml:space="preserve">The length/timescales of the commitment are significant </w:t>
            </w:r>
          </w:p>
          <w:p w14:paraId="210D9762" w14:textId="77777777" w:rsidR="005C6C96" w:rsidRDefault="005C6C96" w:rsidP="005C6C96">
            <w:pPr>
              <w:pStyle w:val="ListParagraph"/>
              <w:numPr>
                <w:ilvl w:val="0"/>
                <w:numId w:val="20"/>
              </w:numPr>
              <w:pBdr>
                <w:top w:val="single" w:sz="2" w:space="0" w:color="FFFFFF"/>
                <w:left w:val="single" w:sz="2" w:space="0" w:color="FFFFFF"/>
                <w:bottom w:val="single" w:sz="2" w:space="2" w:color="FFFFFF"/>
                <w:right w:val="single" w:sz="2" w:space="4" w:color="FFFFFF"/>
              </w:pBdr>
              <w:spacing w:after="0" w:line="240" w:lineRule="auto"/>
              <w:ind w:right="141"/>
              <w:jc w:val="both"/>
            </w:pPr>
            <w:r>
              <w:t>Significant degree of risk</w:t>
            </w:r>
          </w:p>
        </w:tc>
      </w:tr>
      <w:tr w:rsidR="005C6C96" w14:paraId="1F6B868A" w14:textId="77777777" w:rsidTr="005C6C96">
        <w:trPr>
          <w:trHeight w:val="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B024" w14:textId="77777777" w:rsidR="005C6C96" w:rsidRDefault="005C6C96" w:rsidP="005C6C96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Firmstep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25C7" w14:textId="77777777" w:rsidR="005C6C96" w:rsidRDefault="005C6C96" w:rsidP="005C6C9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deliver the CRM, TMS, single sign on technology.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66F2" w14:textId="3F554A5C" w:rsidR="005C6C96" w:rsidRDefault="005C6C96" w:rsidP="005C6C96">
            <w:pPr>
              <w:pStyle w:val="Default"/>
              <w:jc w:val="both"/>
              <w:rPr>
                <w:sz w:val="22"/>
                <w:szCs w:val="22"/>
              </w:rPr>
            </w:pPr>
            <w:r w:rsidRPr="00103E38">
              <w:rPr>
                <w:sz w:val="22"/>
                <w:szCs w:val="22"/>
              </w:rPr>
              <w:t>Customer and Digital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0ED3" w14:textId="7DC43A02" w:rsidR="005C6C96" w:rsidRDefault="005C6C96" w:rsidP="005C6C9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£58k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6BBA" w14:textId="77777777" w:rsidR="005C6C96" w:rsidRDefault="005C6C96" w:rsidP="005C6C96">
            <w:pPr>
              <w:pStyle w:val="ListParagraph"/>
              <w:numPr>
                <w:ilvl w:val="0"/>
                <w:numId w:val="20"/>
              </w:numPr>
              <w:pBdr>
                <w:top w:val="single" w:sz="2" w:space="0" w:color="FFFFFF"/>
                <w:left w:val="single" w:sz="2" w:space="0" w:color="FFFFFF"/>
                <w:bottom w:val="single" w:sz="2" w:space="2" w:color="FFFFFF"/>
                <w:right w:val="single" w:sz="2" w:space="4" w:color="FFFFFF"/>
              </w:pBdr>
              <w:spacing w:after="0" w:line="240" w:lineRule="auto"/>
              <w:ind w:right="141"/>
              <w:jc w:val="both"/>
            </w:pPr>
            <w:r>
              <w:t>Delivery of core services</w:t>
            </w:r>
          </w:p>
          <w:p w14:paraId="0DEB8575" w14:textId="77777777" w:rsidR="005C6C96" w:rsidRDefault="005C6C96" w:rsidP="005C6C96">
            <w:pPr>
              <w:pStyle w:val="ListParagraph"/>
              <w:numPr>
                <w:ilvl w:val="0"/>
                <w:numId w:val="20"/>
              </w:numPr>
              <w:pBdr>
                <w:top w:val="single" w:sz="2" w:space="0" w:color="FFFFFF"/>
                <w:left w:val="single" w:sz="2" w:space="0" w:color="FFFFFF"/>
                <w:bottom w:val="single" w:sz="2" w:space="2" w:color="FFFFFF"/>
                <w:right w:val="single" w:sz="2" w:space="4" w:color="FFFFFF"/>
              </w:pBdr>
              <w:spacing w:after="0" w:line="240" w:lineRule="auto"/>
              <w:ind w:right="141"/>
              <w:jc w:val="both"/>
            </w:pPr>
            <w:r>
              <w:t>Significant degree of risk</w:t>
            </w:r>
          </w:p>
        </w:tc>
      </w:tr>
      <w:tr w:rsidR="005C6C96" w14:paraId="1D960C49" w14:textId="77777777" w:rsidTr="005C6C96">
        <w:trPr>
          <w:trHeight w:val="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EAD3" w14:textId="77777777" w:rsidR="005C6C96" w:rsidRDefault="005C6C96" w:rsidP="009561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 plan partnership – SRBC CBC and Preston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9D30" w14:textId="77777777" w:rsidR="005C6C96" w:rsidRDefault="005C6C96" w:rsidP="005C6C9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develop and deliver the local plan for 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9FC9" w14:textId="35DB615B" w:rsidR="005C6C96" w:rsidRDefault="005C6C96" w:rsidP="005C6C9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and Development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E9B7" w14:textId="6FB23F98" w:rsidR="005C6C96" w:rsidRDefault="005C6C96" w:rsidP="005C6C9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02ED" w14:textId="77777777" w:rsidR="005C6C96" w:rsidRDefault="005C6C96" w:rsidP="00A25C8A">
            <w:pPr>
              <w:pStyle w:val="ListParagraph"/>
              <w:numPr>
                <w:ilvl w:val="0"/>
                <w:numId w:val="20"/>
              </w:numPr>
              <w:pBdr>
                <w:top w:val="single" w:sz="2" w:space="0" w:color="FFFFFF"/>
                <w:left w:val="single" w:sz="2" w:space="0" w:color="FFFFFF"/>
                <w:bottom w:val="single" w:sz="2" w:space="2" w:color="FFFFFF"/>
                <w:right w:val="single" w:sz="2" w:space="4" w:color="FFFFFF"/>
              </w:pBdr>
              <w:spacing w:after="0" w:line="240" w:lineRule="auto"/>
              <w:ind w:right="141"/>
            </w:pPr>
            <w:r>
              <w:t xml:space="preserve">Scale of human and other resources involved is large </w:t>
            </w:r>
          </w:p>
          <w:p w14:paraId="5443F1DF" w14:textId="77777777" w:rsidR="005C6C96" w:rsidRDefault="005C6C96" w:rsidP="00A25C8A">
            <w:pPr>
              <w:pStyle w:val="ListParagraph"/>
              <w:numPr>
                <w:ilvl w:val="0"/>
                <w:numId w:val="20"/>
              </w:numPr>
              <w:pBdr>
                <w:top w:val="single" w:sz="2" w:space="0" w:color="FFFFFF"/>
                <w:left w:val="single" w:sz="2" w:space="0" w:color="FFFFFF"/>
                <w:bottom w:val="single" w:sz="2" w:space="2" w:color="FFFFFF"/>
                <w:right w:val="single" w:sz="2" w:space="4" w:color="FFFFFF"/>
              </w:pBdr>
              <w:spacing w:after="0" w:line="240" w:lineRule="auto"/>
              <w:ind w:right="141"/>
            </w:pPr>
            <w:r>
              <w:t xml:space="preserve">The length/timescales of the commitment are significant </w:t>
            </w:r>
          </w:p>
          <w:p w14:paraId="7D4D67DA" w14:textId="3BDA97B3" w:rsidR="005C6C96" w:rsidRPr="00A60389" w:rsidRDefault="005C6C96" w:rsidP="00A25C8A">
            <w:pPr>
              <w:pStyle w:val="ListParagraph"/>
              <w:numPr>
                <w:ilvl w:val="0"/>
                <w:numId w:val="20"/>
              </w:numPr>
              <w:pBdr>
                <w:top w:val="single" w:sz="2" w:space="0" w:color="FFFFFF"/>
                <w:left w:val="single" w:sz="2" w:space="0" w:color="FFFFFF"/>
                <w:bottom w:val="single" w:sz="2" w:space="2" w:color="FFFFFF"/>
                <w:right w:val="single" w:sz="2" w:space="4" w:color="FFFFFF"/>
              </w:pBdr>
              <w:spacing w:after="0" w:line="240" w:lineRule="auto"/>
              <w:ind w:right="141"/>
            </w:pPr>
            <w:r>
              <w:t>Significant degree of risk</w:t>
            </w:r>
          </w:p>
        </w:tc>
      </w:tr>
      <w:tr w:rsidR="00956101" w14:paraId="632E0E68" w14:textId="77777777" w:rsidTr="005C6C96">
        <w:trPr>
          <w:trHeight w:val="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47D3" w14:textId="2E24C02F" w:rsidR="00956101" w:rsidRDefault="00956101" w:rsidP="009561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Shared Services with Chorley Council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3819" w14:textId="554E9056" w:rsidR="00956101" w:rsidRDefault="00956101" w:rsidP="005C6C9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Sovereign councils working together with shared functions to deliver council services.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1E1B" w14:textId="30BACEF8" w:rsidR="00956101" w:rsidRDefault="00956101" w:rsidP="005C6C9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Policy and Governance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B192" w14:textId="3E68EDF7" w:rsidR="00956101" w:rsidRDefault="00956101" w:rsidP="005C6C9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F5EA" w14:textId="77777777" w:rsidR="00956101" w:rsidRDefault="00956101" w:rsidP="00A25C8A">
            <w:pPr>
              <w:pStyle w:val="ListParagraph"/>
              <w:numPr>
                <w:ilvl w:val="0"/>
                <w:numId w:val="22"/>
              </w:numPr>
              <w:pBdr>
                <w:top w:val="single" w:sz="2" w:space="0" w:color="FFFFFF"/>
                <w:left w:val="single" w:sz="2" w:space="0" w:color="FFFFFF"/>
                <w:bottom w:val="single" w:sz="2" w:space="2" w:color="FFFFFF"/>
                <w:right w:val="single" w:sz="2" w:space="4" w:color="FFFFFF"/>
              </w:pBdr>
              <w:spacing w:after="0" w:line="240" w:lineRule="auto"/>
              <w:ind w:right="141"/>
            </w:pPr>
            <w:r>
              <w:t>Delivery of core services</w:t>
            </w:r>
          </w:p>
          <w:p w14:paraId="71FF1DFB" w14:textId="0CF44D19" w:rsidR="00240686" w:rsidRDefault="00240686" w:rsidP="00A25C8A">
            <w:pPr>
              <w:pStyle w:val="ListParagraph"/>
              <w:numPr>
                <w:ilvl w:val="0"/>
                <w:numId w:val="22"/>
              </w:numPr>
              <w:pBdr>
                <w:top w:val="single" w:sz="2" w:space="0" w:color="FFFFFF"/>
                <w:left w:val="single" w:sz="2" w:space="0" w:color="FFFFFF"/>
                <w:bottom w:val="single" w:sz="2" w:space="2" w:color="FFFFFF"/>
                <w:right w:val="single" w:sz="2" w:space="4" w:color="FFFFFF"/>
              </w:pBdr>
              <w:spacing w:after="0" w:line="240" w:lineRule="auto"/>
              <w:ind w:right="141"/>
            </w:pPr>
            <w:r>
              <w:t>Scale of human and other resources involved is large</w:t>
            </w:r>
          </w:p>
        </w:tc>
      </w:tr>
      <w:tr w:rsidR="005C6C96" w14:paraId="73012D3E" w14:textId="77777777" w:rsidTr="005C6C96">
        <w:trPr>
          <w:trHeight w:val="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0A30" w14:textId="77777777" w:rsidR="005C6C96" w:rsidRDefault="005C6C96" w:rsidP="009561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Preston, South Ribble and Lancashire City Deal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99B8" w14:textId="77777777" w:rsidR="005C6C96" w:rsidRDefault="005C6C96" w:rsidP="005C6C9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deliver infrastructure investment in Central Lancashire.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3B12" w14:textId="3B8A71A7" w:rsidR="005C6C96" w:rsidRDefault="005C6C96" w:rsidP="005C6C9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and Development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1038" w14:textId="11849559" w:rsidR="005C6C96" w:rsidRDefault="005C6C96" w:rsidP="005C6C9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0F3B" w14:textId="77777777" w:rsidR="005C6C96" w:rsidRDefault="005C6C96" w:rsidP="005C6C96">
            <w:pPr>
              <w:pStyle w:val="ListParagraph"/>
              <w:numPr>
                <w:ilvl w:val="0"/>
                <w:numId w:val="19"/>
              </w:numPr>
              <w:pBdr>
                <w:top w:val="single" w:sz="2" w:space="0" w:color="FFFFFF"/>
                <w:left w:val="single" w:sz="2" w:space="0" w:color="FFFFFF"/>
                <w:bottom w:val="single" w:sz="2" w:space="2" w:color="FFFFFF"/>
                <w:right w:val="single" w:sz="2" w:space="4" w:color="FFFFFF"/>
              </w:pBdr>
              <w:spacing w:after="0" w:line="240" w:lineRule="auto"/>
              <w:ind w:right="141"/>
              <w:jc w:val="both"/>
            </w:pPr>
            <w:r>
              <w:t>There is significant impact on the delivery of the council’s strategic objectives</w:t>
            </w:r>
          </w:p>
          <w:p w14:paraId="6B2B30EF" w14:textId="77777777" w:rsidR="005C6C96" w:rsidRDefault="005C6C96" w:rsidP="005C6C96">
            <w:pPr>
              <w:pStyle w:val="ListParagraph"/>
              <w:numPr>
                <w:ilvl w:val="0"/>
                <w:numId w:val="19"/>
              </w:numPr>
              <w:pBdr>
                <w:top w:val="single" w:sz="2" w:space="0" w:color="FFFFFF"/>
                <w:left w:val="single" w:sz="2" w:space="0" w:color="FFFFFF"/>
                <w:bottom w:val="single" w:sz="2" w:space="2" w:color="FFFFFF"/>
                <w:right w:val="single" w:sz="2" w:space="4" w:color="FFFFFF"/>
              </w:pBdr>
              <w:spacing w:after="0" w:line="240" w:lineRule="auto"/>
              <w:ind w:right="141"/>
              <w:jc w:val="both"/>
            </w:pPr>
            <w:r>
              <w:t>Significant degree of risk</w:t>
            </w:r>
          </w:p>
        </w:tc>
      </w:tr>
      <w:tr w:rsidR="005C6C96" w14:paraId="340B1887" w14:textId="77777777" w:rsidTr="005C6C96">
        <w:trPr>
          <w:trHeight w:val="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D73D" w14:textId="77777777" w:rsidR="005C6C96" w:rsidRDefault="005C6C96" w:rsidP="005C6C96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Civica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3480" w14:textId="77777777" w:rsidR="005C6C96" w:rsidRDefault="005C6C96" w:rsidP="005C6C9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Provides a core financials system software licence and maintenance.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19C4" w14:textId="064EC73A" w:rsidR="005C6C96" w:rsidRDefault="005C6C96" w:rsidP="005C6C9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Policy and Governance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D75D" w14:textId="0FD6C5A6" w:rsidR="005C6C96" w:rsidRDefault="005C6C96" w:rsidP="005C6C9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£64k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BB7D" w14:textId="77777777" w:rsidR="005C6C96" w:rsidRDefault="005C6C96" w:rsidP="005C6C96">
            <w:pPr>
              <w:pStyle w:val="ListParagraph"/>
              <w:numPr>
                <w:ilvl w:val="0"/>
                <w:numId w:val="20"/>
              </w:numPr>
              <w:pBdr>
                <w:top w:val="single" w:sz="2" w:space="0" w:color="FFFFFF"/>
                <w:left w:val="single" w:sz="2" w:space="0" w:color="FFFFFF"/>
                <w:bottom w:val="single" w:sz="2" w:space="2" w:color="FFFFFF"/>
                <w:right w:val="single" w:sz="2" w:space="4" w:color="FFFFFF"/>
              </w:pBdr>
              <w:spacing w:after="0" w:line="240" w:lineRule="auto"/>
              <w:ind w:right="141"/>
              <w:jc w:val="both"/>
            </w:pPr>
            <w:r>
              <w:t>Delivery of core services</w:t>
            </w:r>
          </w:p>
          <w:p w14:paraId="554786CC" w14:textId="77777777" w:rsidR="005C6C96" w:rsidRDefault="005C6C96" w:rsidP="005C6C96">
            <w:pPr>
              <w:pStyle w:val="ListParagraph"/>
              <w:numPr>
                <w:ilvl w:val="0"/>
                <w:numId w:val="20"/>
              </w:numPr>
              <w:pBdr>
                <w:top w:val="single" w:sz="2" w:space="0" w:color="FFFFFF"/>
                <w:left w:val="single" w:sz="2" w:space="0" w:color="FFFFFF"/>
                <w:bottom w:val="single" w:sz="2" w:space="2" w:color="FFFFFF"/>
                <w:right w:val="single" w:sz="2" w:space="4" w:color="FFFFFF"/>
              </w:pBdr>
              <w:spacing w:after="0" w:line="240" w:lineRule="auto"/>
              <w:ind w:right="141"/>
              <w:jc w:val="both"/>
            </w:pPr>
            <w:r>
              <w:t>Significant degree of risk</w:t>
            </w:r>
          </w:p>
        </w:tc>
      </w:tr>
      <w:tr w:rsidR="005C6C96" w14:paraId="42B2BE0B" w14:textId="77777777" w:rsidTr="005C6C96">
        <w:trPr>
          <w:trHeight w:val="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B368" w14:textId="77777777" w:rsidR="005C6C96" w:rsidRDefault="005C6C96" w:rsidP="005C6C9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Lancashire County Council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77BE" w14:textId="77777777" w:rsidR="005C6C96" w:rsidRDefault="005C6C96" w:rsidP="005C6C9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Provides the payroll and expenses services.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47FB" w14:textId="12392D7D" w:rsidR="005C6C96" w:rsidRDefault="005C6C96" w:rsidP="005C6C9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Policy and Governance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A17F" w14:textId="040E5158" w:rsidR="005C6C96" w:rsidRDefault="005C6C96" w:rsidP="005C6C9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£23k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4714" w14:textId="77777777" w:rsidR="005C6C96" w:rsidRDefault="005C6C96" w:rsidP="005C6C96">
            <w:pPr>
              <w:pStyle w:val="ListParagraph"/>
              <w:numPr>
                <w:ilvl w:val="0"/>
                <w:numId w:val="20"/>
              </w:numPr>
              <w:pBdr>
                <w:top w:val="single" w:sz="2" w:space="0" w:color="FFFFFF"/>
                <w:left w:val="single" w:sz="2" w:space="0" w:color="FFFFFF"/>
                <w:bottom w:val="single" w:sz="2" w:space="2" w:color="FFFFFF"/>
                <w:right w:val="single" w:sz="2" w:space="4" w:color="FFFFFF"/>
              </w:pBdr>
              <w:spacing w:after="0" w:line="240" w:lineRule="auto"/>
              <w:ind w:right="141"/>
              <w:jc w:val="both"/>
            </w:pPr>
            <w:r>
              <w:t>Delivery of core services</w:t>
            </w:r>
          </w:p>
          <w:p w14:paraId="294477C0" w14:textId="77777777" w:rsidR="005C6C96" w:rsidRDefault="005C6C96" w:rsidP="005C6C96">
            <w:pPr>
              <w:pStyle w:val="ListParagraph"/>
              <w:numPr>
                <w:ilvl w:val="0"/>
                <w:numId w:val="20"/>
              </w:numPr>
              <w:pBdr>
                <w:top w:val="single" w:sz="2" w:space="0" w:color="FFFFFF"/>
                <w:left w:val="single" w:sz="2" w:space="0" w:color="FFFFFF"/>
                <w:bottom w:val="single" w:sz="2" w:space="2" w:color="FFFFFF"/>
                <w:right w:val="single" w:sz="2" w:space="4" w:color="FFFFFF"/>
              </w:pBdr>
              <w:spacing w:after="0" w:line="240" w:lineRule="auto"/>
              <w:ind w:right="141"/>
              <w:jc w:val="both"/>
            </w:pPr>
            <w:r>
              <w:t>Significant degree of risk</w:t>
            </w:r>
          </w:p>
        </w:tc>
      </w:tr>
    </w:tbl>
    <w:p w14:paraId="016379EF" w14:textId="02F83CDC" w:rsidR="005C6C96" w:rsidRDefault="005C6C96" w:rsidP="005C6C96">
      <w:pPr>
        <w:jc w:val="both"/>
        <w:rPr>
          <w:rFonts w:asciiTheme="majorHAnsi" w:hAnsiTheme="majorHAnsi" w:cstheme="majorHAnsi"/>
          <w:b/>
          <w:bCs/>
          <w:color w:val="147FA8"/>
          <w:sz w:val="28"/>
          <w:szCs w:val="28"/>
          <w:lang w:val="en-US"/>
        </w:rPr>
        <w:sectPr w:rsidR="005C6C96" w:rsidSect="005C6C96"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E3FB662" w14:textId="77777777" w:rsidR="0025620C" w:rsidRPr="00A0164F" w:rsidRDefault="0025620C" w:rsidP="00A25C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25620C" w:rsidRPr="00A0164F" w:rsidSect="005C6C96"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659ED" w14:textId="77777777" w:rsidR="001672E6" w:rsidRDefault="001672E6" w:rsidP="003E3AB0">
      <w:pPr>
        <w:spacing w:after="0" w:line="240" w:lineRule="auto"/>
      </w:pPr>
      <w:r>
        <w:separator/>
      </w:r>
    </w:p>
  </w:endnote>
  <w:endnote w:type="continuationSeparator" w:id="0">
    <w:p w14:paraId="5F6A3DFB" w14:textId="77777777" w:rsidR="001672E6" w:rsidRDefault="001672E6" w:rsidP="003E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B49DE" w14:textId="3F01F56C" w:rsidR="001672E6" w:rsidRDefault="001672E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0" wp14:anchorId="30F6B8D3" wp14:editId="00D938BC">
          <wp:simplePos x="0" y="0"/>
          <wp:positionH relativeFrom="page">
            <wp:posOffset>5727065</wp:posOffset>
          </wp:positionH>
          <wp:positionV relativeFrom="page">
            <wp:posOffset>236220</wp:posOffset>
          </wp:positionV>
          <wp:extent cx="1496060" cy="661670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BC logo CMYK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060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122A4" w14:textId="77777777" w:rsidR="001672E6" w:rsidRDefault="001672E6" w:rsidP="003E3AB0">
      <w:pPr>
        <w:spacing w:after="0" w:line="240" w:lineRule="auto"/>
      </w:pPr>
      <w:r>
        <w:separator/>
      </w:r>
    </w:p>
  </w:footnote>
  <w:footnote w:type="continuationSeparator" w:id="0">
    <w:p w14:paraId="14757A8E" w14:textId="77777777" w:rsidR="001672E6" w:rsidRDefault="001672E6" w:rsidP="003E3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600F8"/>
    <w:multiLevelType w:val="hybridMultilevel"/>
    <w:tmpl w:val="BBCAE68C"/>
    <w:lvl w:ilvl="0" w:tplc="52F4EB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61E6CE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F64BB5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2D232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86B69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A0ECBE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C646C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4C27A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B7C54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E5E62"/>
    <w:multiLevelType w:val="hybridMultilevel"/>
    <w:tmpl w:val="3AF08E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F2779"/>
    <w:multiLevelType w:val="hybridMultilevel"/>
    <w:tmpl w:val="2392E1DC"/>
    <w:lvl w:ilvl="0" w:tplc="C5EC7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82B4B"/>
    <w:multiLevelType w:val="hybridMultilevel"/>
    <w:tmpl w:val="27D0AF2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EA243C5"/>
    <w:multiLevelType w:val="hybridMultilevel"/>
    <w:tmpl w:val="564C36FC"/>
    <w:lvl w:ilvl="0" w:tplc="C5EC7534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7FC4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808D1"/>
    <w:multiLevelType w:val="hybridMultilevel"/>
    <w:tmpl w:val="353EFFB6"/>
    <w:lvl w:ilvl="0" w:tplc="027EEB7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A0C86"/>
    <w:multiLevelType w:val="hybridMultilevel"/>
    <w:tmpl w:val="20BEA40E"/>
    <w:lvl w:ilvl="0" w:tplc="C5EC7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324D4"/>
    <w:multiLevelType w:val="hybridMultilevel"/>
    <w:tmpl w:val="0CE2B5E6"/>
    <w:lvl w:ilvl="0" w:tplc="B88E9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55618C"/>
    <w:multiLevelType w:val="hybridMultilevel"/>
    <w:tmpl w:val="F558D140"/>
    <w:lvl w:ilvl="0" w:tplc="C5EC7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A4EBB"/>
    <w:multiLevelType w:val="hybridMultilevel"/>
    <w:tmpl w:val="2A546200"/>
    <w:lvl w:ilvl="0" w:tplc="C5EC7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64FFE"/>
    <w:multiLevelType w:val="hybridMultilevel"/>
    <w:tmpl w:val="3612A3A4"/>
    <w:lvl w:ilvl="0" w:tplc="C5EC7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740A132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C42E2"/>
    <w:multiLevelType w:val="hybridMultilevel"/>
    <w:tmpl w:val="37ECB20A"/>
    <w:lvl w:ilvl="0" w:tplc="FB6E5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73ACB"/>
    <w:multiLevelType w:val="hybridMultilevel"/>
    <w:tmpl w:val="6B96C2CA"/>
    <w:lvl w:ilvl="0" w:tplc="C5EC7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D2CDE"/>
    <w:multiLevelType w:val="hybridMultilevel"/>
    <w:tmpl w:val="5B6827D0"/>
    <w:lvl w:ilvl="0" w:tplc="A9442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E3B86"/>
    <w:multiLevelType w:val="hybridMultilevel"/>
    <w:tmpl w:val="6E645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7524EC"/>
    <w:multiLevelType w:val="hybridMultilevel"/>
    <w:tmpl w:val="C83AE318"/>
    <w:lvl w:ilvl="0" w:tplc="BAF61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43041"/>
    <w:multiLevelType w:val="hybridMultilevel"/>
    <w:tmpl w:val="F326910E"/>
    <w:lvl w:ilvl="0" w:tplc="32CAEF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D0538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32AC3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27AF2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649A1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2AEBA8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6E50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E9428C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5ED0F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093033"/>
    <w:multiLevelType w:val="hybridMultilevel"/>
    <w:tmpl w:val="C3786B2A"/>
    <w:lvl w:ilvl="0" w:tplc="C5EC7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C5EC7534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color w:val="7FC44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81066"/>
    <w:multiLevelType w:val="hybridMultilevel"/>
    <w:tmpl w:val="29A03522"/>
    <w:lvl w:ilvl="0" w:tplc="C5EC7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82FCF"/>
    <w:multiLevelType w:val="hybridMultilevel"/>
    <w:tmpl w:val="C3201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872A1"/>
    <w:multiLevelType w:val="hybridMultilevel"/>
    <w:tmpl w:val="700E460A"/>
    <w:lvl w:ilvl="0" w:tplc="50542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kern w:val="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12DA1"/>
    <w:multiLevelType w:val="hybridMultilevel"/>
    <w:tmpl w:val="6350580E"/>
    <w:lvl w:ilvl="0" w:tplc="C5EC7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15"/>
  </w:num>
  <w:num w:numId="5">
    <w:abstractNumId w:val="11"/>
  </w:num>
  <w:num w:numId="6">
    <w:abstractNumId w:val="3"/>
  </w:num>
  <w:num w:numId="7">
    <w:abstractNumId w:val="7"/>
  </w:num>
  <w:num w:numId="8">
    <w:abstractNumId w:val="19"/>
  </w:num>
  <w:num w:numId="9">
    <w:abstractNumId w:val="5"/>
  </w:num>
  <w:num w:numId="10">
    <w:abstractNumId w:val="4"/>
  </w:num>
  <w:num w:numId="11">
    <w:abstractNumId w:val="21"/>
  </w:num>
  <w:num w:numId="12">
    <w:abstractNumId w:val="9"/>
  </w:num>
  <w:num w:numId="13">
    <w:abstractNumId w:val="10"/>
  </w:num>
  <w:num w:numId="14">
    <w:abstractNumId w:val="2"/>
  </w:num>
  <w:num w:numId="15">
    <w:abstractNumId w:val="17"/>
  </w:num>
  <w:num w:numId="16">
    <w:abstractNumId w:val="12"/>
  </w:num>
  <w:num w:numId="17">
    <w:abstractNumId w:val="6"/>
  </w:num>
  <w:num w:numId="18">
    <w:abstractNumId w:val="8"/>
  </w:num>
  <w:num w:numId="19">
    <w:abstractNumId w:val="16"/>
  </w:num>
  <w:num w:numId="20">
    <w:abstractNumId w:val="0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6B"/>
    <w:rsid w:val="00001BDB"/>
    <w:rsid w:val="000630CB"/>
    <w:rsid w:val="0009071E"/>
    <w:rsid w:val="00096864"/>
    <w:rsid w:val="000A3740"/>
    <w:rsid w:val="000A672E"/>
    <w:rsid w:val="000A77FE"/>
    <w:rsid w:val="000C325D"/>
    <w:rsid w:val="000F107B"/>
    <w:rsid w:val="000F75CB"/>
    <w:rsid w:val="00126587"/>
    <w:rsid w:val="00155A94"/>
    <w:rsid w:val="00162386"/>
    <w:rsid w:val="00163EBF"/>
    <w:rsid w:val="001672E6"/>
    <w:rsid w:val="001B381C"/>
    <w:rsid w:val="001B6A2F"/>
    <w:rsid w:val="001F16AB"/>
    <w:rsid w:val="00210AEC"/>
    <w:rsid w:val="00240686"/>
    <w:rsid w:val="0025620C"/>
    <w:rsid w:val="00282A51"/>
    <w:rsid w:val="002A5BA0"/>
    <w:rsid w:val="002E70F0"/>
    <w:rsid w:val="0030389A"/>
    <w:rsid w:val="0031092A"/>
    <w:rsid w:val="003338C9"/>
    <w:rsid w:val="00337315"/>
    <w:rsid w:val="00380522"/>
    <w:rsid w:val="003E3AB0"/>
    <w:rsid w:val="0040452A"/>
    <w:rsid w:val="0041722B"/>
    <w:rsid w:val="00425767"/>
    <w:rsid w:val="00457821"/>
    <w:rsid w:val="00467EE7"/>
    <w:rsid w:val="00472069"/>
    <w:rsid w:val="00483CC4"/>
    <w:rsid w:val="004B08CA"/>
    <w:rsid w:val="00510168"/>
    <w:rsid w:val="005433E2"/>
    <w:rsid w:val="00574E3D"/>
    <w:rsid w:val="005C5465"/>
    <w:rsid w:val="005C6C96"/>
    <w:rsid w:val="005D5962"/>
    <w:rsid w:val="00641609"/>
    <w:rsid w:val="006834C0"/>
    <w:rsid w:val="006840C0"/>
    <w:rsid w:val="00690B12"/>
    <w:rsid w:val="00692A43"/>
    <w:rsid w:val="006966F4"/>
    <w:rsid w:val="006A7267"/>
    <w:rsid w:val="00706128"/>
    <w:rsid w:val="00716C04"/>
    <w:rsid w:val="00774BC4"/>
    <w:rsid w:val="007D4D77"/>
    <w:rsid w:val="007E4749"/>
    <w:rsid w:val="007E47DE"/>
    <w:rsid w:val="0085583E"/>
    <w:rsid w:val="008A4C2F"/>
    <w:rsid w:val="008B12EE"/>
    <w:rsid w:val="008F6F32"/>
    <w:rsid w:val="009157BD"/>
    <w:rsid w:val="00950C6C"/>
    <w:rsid w:val="00956101"/>
    <w:rsid w:val="00974AB3"/>
    <w:rsid w:val="00996A56"/>
    <w:rsid w:val="009C6B21"/>
    <w:rsid w:val="009D625C"/>
    <w:rsid w:val="009F7F0B"/>
    <w:rsid w:val="00A0164F"/>
    <w:rsid w:val="00A25C8A"/>
    <w:rsid w:val="00A35247"/>
    <w:rsid w:val="00A356DB"/>
    <w:rsid w:val="00A60389"/>
    <w:rsid w:val="00A87641"/>
    <w:rsid w:val="00AA0C73"/>
    <w:rsid w:val="00B10F13"/>
    <w:rsid w:val="00B22DDB"/>
    <w:rsid w:val="00B66D39"/>
    <w:rsid w:val="00B94993"/>
    <w:rsid w:val="00BC25D4"/>
    <w:rsid w:val="00C3676B"/>
    <w:rsid w:val="00D11216"/>
    <w:rsid w:val="00D6677C"/>
    <w:rsid w:val="00DF7476"/>
    <w:rsid w:val="00E11941"/>
    <w:rsid w:val="00E23AEE"/>
    <w:rsid w:val="00E63220"/>
    <w:rsid w:val="00E856F1"/>
    <w:rsid w:val="00EA6AB9"/>
    <w:rsid w:val="00EB0149"/>
    <w:rsid w:val="00EC0007"/>
    <w:rsid w:val="00EC3692"/>
    <w:rsid w:val="00F35C4C"/>
    <w:rsid w:val="00F60644"/>
    <w:rsid w:val="00F929C3"/>
    <w:rsid w:val="00FB2F2E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EB5C1C4"/>
  <w15:docId w15:val="{4455AF4D-B4B3-4B21-9631-E740B95C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0F13"/>
  </w:style>
  <w:style w:type="paragraph" w:styleId="Heading1">
    <w:name w:val="heading 1"/>
    <w:basedOn w:val="Normal"/>
    <w:link w:val="Heading1Char"/>
    <w:uiPriority w:val="9"/>
    <w:qFormat/>
    <w:rsid w:val="0077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74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B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74B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first">
    <w:name w:val="standfirst"/>
    <w:basedOn w:val="Normal"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4B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A0164F"/>
    <w:pPr>
      <w:spacing w:after="0" w:line="36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0164F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B0"/>
  </w:style>
  <w:style w:type="paragraph" w:styleId="Footer">
    <w:name w:val="footer"/>
    <w:basedOn w:val="Normal"/>
    <w:link w:val="Foot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B0"/>
  </w:style>
  <w:style w:type="paragraph" w:styleId="ListParagraph">
    <w:name w:val="List Paragraph"/>
    <w:basedOn w:val="Normal"/>
    <w:uiPriority w:val="34"/>
    <w:qFormat/>
    <w:rsid w:val="007E4749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E856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5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9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9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9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8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GX0620</dc:creator>
  <cp:lastModifiedBy>Victoria Willett</cp:lastModifiedBy>
  <cp:revision>71</cp:revision>
  <cp:lastPrinted>2014-03-21T13:56:00Z</cp:lastPrinted>
  <dcterms:created xsi:type="dcterms:W3CDTF">2021-04-07T08:42:00Z</dcterms:created>
  <dcterms:modified xsi:type="dcterms:W3CDTF">2021-05-13T16:02:00Z</dcterms:modified>
</cp:coreProperties>
</file>